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330"/>
        <w:gridCol w:w="1701"/>
        <w:gridCol w:w="4196"/>
      </w:tblGrid>
      <w:tr w:rsidR="009D14DB" w:rsidTr="00C06EB2">
        <w:trPr>
          <w:cantSplit/>
          <w:trHeight w:val="1280"/>
          <w:jc w:val="center"/>
        </w:trPr>
        <w:tc>
          <w:tcPr>
            <w:tcW w:w="10227" w:type="dxa"/>
            <w:gridSpan w:val="3"/>
            <w:hideMark/>
          </w:tcPr>
          <w:p w:rsidR="009D14DB" w:rsidRDefault="009D14DB" w:rsidP="00C06EB2">
            <w:pPr>
              <w:tabs>
                <w:tab w:val="left" w:pos="8222"/>
              </w:tabs>
              <w:jc w:val="center"/>
              <w:rPr>
                <w:spacing w:val="40"/>
                <w:sz w:val="32"/>
              </w:rPr>
            </w:pPr>
            <w:r>
              <w:rPr>
                <w:rFonts w:ascii="Arial" w:hAnsi="Arial"/>
                <w:b/>
                <w:noProof/>
                <w:spacing w:val="30"/>
                <w:sz w:val="30"/>
              </w:rPr>
              <w:drawing>
                <wp:inline distT="0" distB="0" distL="0" distR="0">
                  <wp:extent cx="526415" cy="826770"/>
                  <wp:effectExtent l="0" t="0" r="6985" b="0"/>
                  <wp:docPr id="1" name="Рисунок 1" descr="Описание: Gerb_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Gerb_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D14DB" w:rsidTr="00C06EB2">
        <w:trPr>
          <w:cantSplit/>
          <w:trHeight w:val="1984"/>
          <w:jc w:val="center"/>
        </w:trPr>
        <w:tc>
          <w:tcPr>
            <w:tcW w:w="10227" w:type="dxa"/>
            <w:gridSpan w:val="3"/>
          </w:tcPr>
          <w:p w:rsidR="009D14DB" w:rsidRDefault="009D14DB" w:rsidP="00C06EB2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УПРАВЛЕНИЕ ЗДРАВООХРАНЕНИЯ</w:t>
            </w:r>
          </w:p>
          <w:p w:rsidR="009D14DB" w:rsidRDefault="009D14DB" w:rsidP="00C06EB2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ЛИПЕЦКОЙ ОБЛАСТИ</w:t>
            </w:r>
          </w:p>
          <w:p w:rsidR="009D14DB" w:rsidRDefault="009D14DB" w:rsidP="00C06EB2">
            <w:pPr>
              <w:tabs>
                <w:tab w:val="left" w:pos="8222"/>
              </w:tabs>
              <w:spacing w:before="120"/>
              <w:jc w:val="center"/>
              <w:rPr>
                <w:spacing w:val="8"/>
              </w:rPr>
            </w:pPr>
            <w:r>
              <w:rPr>
                <w:spacing w:val="8"/>
              </w:rPr>
              <w:t>_______________________________________________________________________________</w:t>
            </w:r>
          </w:p>
          <w:p w:rsidR="009D14DB" w:rsidRDefault="009D14DB" w:rsidP="00C06EB2">
            <w:pPr>
              <w:tabs>
                <w:tab w:val="left" w:pos="8222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ПРИКАЗ</w:t>
            </w:r>
          </w:p>
          <w:p w:rsidR="009D14DB" w:rsidRDefault="009D14DB" w:rsidP="00C06EB2">
            <w:pPr>
              <w:tabs>
                <w:tab w:val="left" w:pos="8222"/>
              </w:tabs>
              <w:spacing w:before="280"/>
              <w:jc w:val="center"/>
              <w:rPr>
                <w:spacing w:val="40"/>
              </w:rPr>
            </w:pPr>
          </w:p>
        </w:tc>
      </w:tr>
      <w:tr w:rsidR="009D14DB" w:rsidTr="00C06EB2">
        <w:trPr>
          <w:cantSplit/>
          <w:trHeight w:hRule="exact" w:val="566"/>
          <w:jc w:val="center"/>
        </w:trPr>
        <w:tc>
          <w:tcPr>
            <w:tcW w:w="4330" w:type="dxa"/>
            <w:hideMark/>
          </w:tcPr>
          <w:p w:rsidR="009D14DB" w:rsidRDefault="009D14DB" w:rsidP="00C06EB2">
            <w:pPr>
              <w:tabs>
                <w:tab w:val="left" w:pos="8222"/>
              </w:tabs>
              <w:spacing w:before="120"/>
            </w:pPr>
            <w:r>
              <w:t xml:space="preserve">             __________________</w:t>
            </w:r>
          </w:p>
        </w:tc>
        <w:tc>
          <w:tcPr>
            <w:tcW w:w="1701" w:type="dxa"/>
          </w:tcPr>
          <w:p w:rsidR="009D14DB" w:rsidRDefault="009D14DB" w:rsidP="00C06EB2">
            <w:pPr>
              <w:tabs>
                <w:tab w:val="left" w:pos="8222"/>
              </w:tabs>
              <w:jc w:val="center"/>
              <w:rPr>
                <w:sz w:val="18"/>
              </w:rPr>
            </w:pPr>
          </w:p>
          <w:p w:rsidR="009D14DB" w:rsidRDefault="009D14DB" w:rsidP="00C06EB2">
            <w:pPr>
              <w:tabs>
                <w:tab w:val="left" w:pos="8222"/>
              </w:tabs>
              <w:spacing w:before="120"/>
              <w:jc w:val="center"/>
              <w:rPr>
                <w:sz w:val="18"/>
              </w:rPr>
            </w:pPr>
          </w:p>
        </w:tc>
        <w:tc>
          <w:tcPr>
            <w:tcW w:w="4196" w:type="dxa"/>
            <w:hideMark/>
          </w:tcPr>
          <w:p w:rsidR="009D14DB" w:rsidRDefault="009D14DB" w:rsidP="00C06EB2">
            <w:pPr>
              <w:tabs>
                <w:tab w:val="left" w:pos="8222"/>
              </w:tabs>
              <w:spacing w:before="120"/>
              <w:ind w:right="176"/>
            </w:pPr>
            <w:r>
              <w:t xml:space="preserve">                      №</w:t>
            </w:r>
            <w:r>
              <w:rPr>
                <w:spacing w:val="-10"/>
              </w:rPr>
              <w:t xml:space="preserve">  _______________</w:t>
            </w:r>
          </w:p>
        </w:tc>
      </w:tr>
      <w:tr w:rsidR="009D14DB" w:rsidTr="00C06EB2">
        <w:trPr>
          <w:cantSplit/>
          <w:trHeight w:hRule="exact" w:val="267"/>
          <w:jc w:val="center"/>
        </w:trPr>
        <w:tc>
          <w:tcPr>
            <w:tcW w:w="4330" w:type="dxa"/>
          </w:tcPr>
          <w:p w:rsidR="009D14DB" w:rsidRDefault="009D14DB" w:rsidP="00C06EB2">
            <w:pPr>
              <w:tabs>
                <w:tab w:val="left" w:pos="8222"/>
              </w:tabs>
              <w:spacing w:before="120"/>
              <w:rPr>
                <w:spacing w:val="-10"/>
              </w:rPr>
            </w:pPr>
          </w:p>
        </w:tc>
        <w:tc>
          <w:tcPr>
            <w:tcW w:w="1701" w:type="dxa"/>
            <w:hideMark/>
          </w:tcPr>
          <w:p w:rsidR="009D14DB" w:rsidRDefault="009D14DB" w:rsidP="00C06EB2">
            <w:pPr>
              <w:tabs>
                <w:tab w:val="left" w:pos="8222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г. Липецк</w:t>
            </w:r>
          </w:p>
        </w:tc>
        <w:tc>
          <w:tcPr>
            <w:tcW w:w="4196" w:type="dxa"/>
          </w:tcPr>
          <w:p w:rsidR="009D14DB" w:rsidRDefault="009D14DB" w:rsidP="00C06EB2">
            <w:pPr>
              <w:tabs>
                <w:tab w:val="left" w:pos="8222"/>
              </w:tabs>
              <w:spacing w:before="120"/>
              <w:ind w:right="176"/>
              <w:jc w:val="right"/>
            </w:pPr>
          </w:p>
        </w:tc>
      </w:tr>
    </w:tbl>
    <w:p w:rsidR="009D14DB" w:rsidRDefault="009D14DB" w:rsidP="009D14DB">
      <w:pPr>
        <w:widowControl w:val="0"/>
        <w:autoSpaceDE w:val="0"/>
        <w:autoSpaceDN w:val="0"/>
        <w:adjustRightInd w:val="0"/>
        <w:jc w:val="both"/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 внесении изменения в приказ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управления здравоохранения Липецкой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области от 24 февраля 2016 года № 238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«Об утверждении административного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hyperlink r:id="rId5" w:anchor="Par38" w:history="1">
        <w:r w:rsidRPr="00B602DF">
          <w:rPr>
            <w:sz w:val="27"/>
            <w:szCs w:val="27"/>
          </w:rPr>
          <w:t>регламент</w:t>
        </w:r>
      </w:hyperlink>
      <w:r>
        <w:rPr>
          <w:sz w:val="27"/>
          <w:szCs w:val="27"/>
        </w:rPr>
        <w:t xml:space="preserve">а  предоставления управлением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здравоохранения Липецкой области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государственной услуги по направлению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граждан на оказание высокотехнологичной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медицинской помощи, не включенной в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базовую программу обязательного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медицинского страхования, с применением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специализированной информационной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системы»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проведенного мониторинга действующего законодательства Российской Федерации по вопросам социальной защиты инвалидов в связи с ратификацией Конвенции о правах инвалидов и в целях повышения качества предоставления государственных услуг,</w:t>
      </w:r>
    </w:p>
    <w:p w:rsidR="009D14DB" w:rsidRDefault="009D14DB" w:rsidP="009D14DB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ПРИКАЗЫВАЮ: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Внести в приказ управления здравоохранения Липецкой области от 24 февраля 2016 года № 238 «Об утверждении административного </w:t>
      </w:r>
      <w:hyperlink r:id="rId6" w:anchor="Par38" w:history="1">
        <w:r w:rsidRPr="00B602DF">
          <w:rPr>
            <w:sz w:val="27"/>
            <w:szCs w:val="27"/>
          </w:rPr>
          <w:t>регламент</w:t>
        </w:r>
      </w:hyperlink>
      <w:r>
        <w:rPr>
          <w:sz w:val="27"/>
          <w:szCs w:val="27"/>
        </w:rPr>
        <w:t>а предоставления управлением здравоохранения Липецкой области государственной услуги 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с применением специализированной информационной системы» следующее изменение: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 приложении к приказу: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подраздел 14 «Требования к помещениям, в которых предоставляется государственная услуга, к месту ожидания и приема заявителей, размещению и оформлению визуальной, текстовой и </w:t>
      </w:r>
      <w:proofErr w:type="spellStart"/>
      <w:r>
        <w:rPr>
          <w:sz w:val="27"/>
          <w:szCs w:val="27"/>
        </w:rPr>
        <w:t>мультимедийной</w:t>
      </w:r>
      <w:proofErr w:type="spellEnd"/>
      <w:r>
        <w:rPr>
          <w:sz w:val="27"/>
          <w:szCs w:val="27"/>
        </w:rPr>
        <w:t xml:space="preserve"> информации о порядке предоставления такой услуги» раздела </w:t>
      </w:r>
      <w:r>
        <w:rPr>
          <w:sz w:val="27"/>
          <w:szCs w:val="27"/>
          <w:lang w:val="en-US"/>
        </w:rPr>
        <w:t>II</w:t>
      </w:r>
      <w:r>
        <w:rPr>
          <w:sz w:val="27"/>
          <w:szCs w:val="27"/>
        </w:rPr>
        <w:t xml:space="preserve"> «Стандарт предоставления государственной услуги» изложить в следующей редакции: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«40. Вход в здание, в котором располагается управление, должен быть оборудован информационной табличкой (вывеской), содержащей информацию об управлении, месте его нахождения.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41. В целях получения инвалидами государственной услуги управление должно обеспечивать: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возможность беспрепятственного входа и выхода из здания;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возможность самостоятельного передвижения по зданию в целях доступа к месту предоставления услуги;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оснащение помещений (мест предоставления государственной услуги) надписями, иной текстовой и графической информацией в доступных для инвалида форматах;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допуск в здание, в котором предоставляется услуга, или к месту предоставления услуги собаки-проводника при наличии документа, подтверждающего ее специальное обучение, выданного по форме и в порядке, которые определяются Министерством труда и социальной защиты Российской Федерации;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допуск в здание </w:t>
      </w:r>
      <w:proofErr w:type="spellStart"/>
      <w:r>
        <w:rPr>
          <w:sz w:val="27"/>
          <w:szCs w:val="27"/>
        </w:rPr>
        <w:t>сурдопереводчика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тифлосурдопереводчика</w:t>
      </w:r>
      <w:proofErr w:type="spellEnd"/>
      <w:r>
        <w:rPr>
          <w:sz w:val="27"/>
          <w:szCs w:val="27"/>
        </w:rPr>
        <w:t>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для инвалидов, имеющих стойкие нарушения функции зрения и самостоятельного передвижения, обеспечивается помощь специалистов управления в перемещении по зданию и прилегающей территории, а также оказание иной необходимой инвалидам помощи в преодолении барьеров, создающих препятствия для получения ими государственной услуги наравне с другими лицами;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оборудование на прилегающей к зданию территории мест для парковки автотранспортных средств инвалидов.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43. При отсутствии возможности оборудовать здание и помещение (место предоставления государственной услуги) в соответствии с вышеперечисленными требованиями прием граждан, являющихся инвалидами, осуществляется в специально выделенных для этих целей помещениях (комнатах), расположенных на первых этажах здания,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43. Прием граждан осуществляется в специально выделенных для этих целей помещениях.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Места ожидания оборудуются столами, стульями, должны соответствовать комфортным условиям для заявителей.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Кабинеты приема заявителей должны быть оборудованы информационными табличками (вывесками) с указанием номера кабинета, фамилии, имени, отчества и должности специалиста, осуществляющего предоставление государственной услуги.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Помещение для непосредственного взаимодействия специалиста с заявителем должно быть организовано в виде отдельного рабочего места, оборудованного персональным компьютером с возможностью доступа к необходимым информационным базам данных.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Места для заполнения заявлений обеспечиваются бланками заявлений, образцами их заполнения и канцелярскими принадлежностями.».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2. Контроль за исполнением настоящего приказа возложить на заместителя начальника управления здравоохранения Липецкой области Тамбовскую Е.А. </w:t>
      </w:r>
    </w:p>
    <w:p w:rsidR="009D14DB" w:rsidRDefault="009D14DB" w:rsidP="009D14DB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Начальник управления </w:t>
      </w:r>
    </w:p>
    <w:p w:rsidR="009D14DB" w:rsidRDefault="009D14DB" w:rsidP="009D14D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здравоохранения Липецкой области                                          А.Н. </w:t>
      </w:r>
      <w:proofErr w:type="spellStart"/>
      <w:r>
        <w:rPr>
          <w:sz w:val="27"/>
          <w:szCs w:val="27"/>
        </w:rPr>
        <w:t>Байцуров</w:t>
      </w:r>
      <w:proofErr w:type="spellEnd"/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Толмачева Т.А. </w:t>
      </w:r>
    </w:p>
    <w:p w:rsidR="009D14DB" w:rsidRDefault="009D14DB" w:rsidP="009D14D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(4742) 25-75-02</w:t>
      </w:r>
    </w:p>
    <w:p w:rsidR="009D14DB" w:rsidRDefault="009D14DB" w:rsidP="009D14DB"/>
    <w:p w:rsidR="009D14DB" w:rsidRDefault="009D14DB" w:rsidP="009D14DB"/>
    <w:p w:rsidR="00CF307D" w:rsidRDefault="00CF307D"/>
    <w:sectPr w:rsidR="00CF307D" w:rsidSect="00CF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14DB"/>
    <w:rsid w:val="009D14DB"/>
    <w:rsid w:val="00CF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4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14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4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42;&#1052;&#1055;%20%20&#1087;&#1086;%20&#1087;&#1080;&#1089;&#1100;&#1084;&#1091;%20&#1059;&#1057;&#1047;&#1053;&#1051;&#1054;%20&#1076;&#1086;%2001.10.2016.rtf" TargetMode="External"/><Relationship Id="rId5" Type="http://schemas.openxmlformats.org/officeDocument/2006/relationships/hyperlink" Target="file:///C:\Users\USER\Desktop\&#1058;&#1086;&#1083;&#1084;&#1072;&#1095;&#1077;&#1074;&#1072;%20&#1058;.&#1040;\&#1043;&#1054;&#1057;&#1059;&#1057;&#1051;&#1059;&#1043;&#1048;\&#1072;&#1076;&#1084;%20&#1088;&#1077;&#1075;&#1083;&#1072;&#1084;&#1077;&#1085;&#1090;&#1099;\&#1054;%20&#1074;&#1085;&#1077;&#1089;&#1077;&#1085;&#1080;&#1080;%20&#1080;&#1079;&#1084;&#1077;&#1085;&#1077;&#1085;&#1080;&#1081;%20&#1074;%20&#1040;&#1076;&#1084;&#1080;&#1085;&#1080;&#1089;&#1090;&#1088;&#1072;&#1090;&#1080;&#1074;&#1085;&#1099;&#1081;%20&#1088;&#1077;&#1075;&#1083;&#1072;&#1084;&#1077;&#1085;&#1090;%20&#1087;&#1086;%20&#1042;&#1052;&#1055;%20%20&#1087;&#1086;%20&#1087;&#1080;&#1089;&#1100;&#1084;&#1091;%20&#1059;&#1057;&#1047;&#1053;&#1051;&#1054;%20&#1076;&#1086;%2001.10.2016.rt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766</Words>
  <Characters>4371</Characters>
  <Application>Microsoft Office Word</Application>
  <DocSecurity>0</DocSecurity>
  <Lines>36</Lines>
  <Paragraphs>10</Paragraphs>
  <ScaleCrop>false</ScaleCrop>
  <Company/>
  <LinksUpToDate>false</LinksUpToDate>
  <CharactersWithSpaces>5127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2016-11-09T14:03:00Z</dcterms:created>
  <dcterms:modified xsi:type="dcterms:W3CDTF">2016-11-09T14:06:00Z</dcterms:modified>
</cp:coreProperties>
</file>