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1" w:type="dxa"/>
        <w:tblInd w:w="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3"/>
        <w:gridCol w:w="22"/>
        <w:gridCol w:w="2246"/>
      </w:tblGrid>
      <w:tr w:rsidR="00BB3E42" w:rsidTr="00060D97">
        <w:trPr>
          <w:trHeight w:val="595"/>
        </w:trPr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6" w:firstLine="0"/>
              <w:jc w:val="center"/>
            </w:pPr>
            <w:bookmarkStart w:id="0" w:name="_GoBack"/>
            <w:bookmarkEnd w:id="0"/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Единицы измерения </w:t>
            </w:r>
          </w:p>
        </w:tc>
      </w:tr>
      <w:tr w:rsidR="00BB3E42" w:rsidTr="00060D97">
        <w:trPr>
          <w:trHeight w:val="884"/>
        </w:trPr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пересечений потоков пациентов при проведении диспансеризации, профилактических медицинских осмотров с иными потоками пациентов в поликлинике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AC1DD9" w:rsidP="001F6C00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е</w:t>
            </w:r>
            <w:r w:rsidR="00BB3E42">
              <w:rPr>
                <w:sz w:val="24"/>
              </w:rPr>
              <w:t xml:space="preserve">диница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1114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пересечений потоков пациентов при предоставлении платных медицинских услуг и медицинской помощи в рамках программы государственных гарантий бесплатного оказания гражданам медицинской помощи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единица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838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возвратов пациента по потоку создания ценности, обусловленных организацией процесса оказания медицинской помощи в поликлинике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единица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объема годовой закупки отдельных категорий материальных запасов, хранимая на складе/складах поликлиники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объема недельной нормы расходования отдельных категорий материальных запасов, хранимая в кабинетах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4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4"/>
              </w:rPr>
              <w:t xml:space="preserve">Доля времени приема, в течение которого медицинский работник создает ценность для пациента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1114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right="196" w:firstLine="0"/>
            </w:pPr>
            <w:r>
              <w:rPr>
                <w:sz w:val="24"/>
              </w:rPr>
              <w:t xml:space="preserve">Отношение отклонения времени цикла от времени такта ко времени такта для работников поликлиники, участвующих в процессах «Профилактический медицинский осмотр», «Первый этап диспансеризации», «Вакцинация»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1390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Отношение количества случаев неоплаты или уменьшения оплаты медицинской помощи и случаев уплаты МО штрафов по результатам МЭЭ, ЭКМП, на 100 запрошенных СМО случаев оказания мед. помощи за последние 12 месяцев к аналогичному показателю предшествующего периода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1390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Отношение суммы неоплаты или уменьшения оплаты медицинской помощи и случаев уплаты МО штрафов по результатам МЭЭ, ЭКМП, на 100 запрошенных СМО случаев оказания мед. помощи за последние 12 месяцев к аналогичному показателю предшествующего периода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838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AC1DD9" w:rsidP="001F6C00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4"/>
              </w:rPr>
              <w:t xml:space="preserve">Доля времени приемов врача </w:t>
            </w:r>
            <w:r w:rsidR="00BB3E42">
              <w:rPr>
                <w:sz w:val="24"/>
              </w:rPr>
              <w:t xml:space="preserve">для оказания медицинской помощи в плановой форме в течение рабочей смены, отведенного для приема по предварительной записи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838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пациентов, принятых в соответствии со временем предварительной записи, от общего количества пациентов, принятых по предварительной записи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1114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предварительных записей на прием в поликлинику, совершенных при непосредственном обращении пациента или его законного представителя в регистратуру, от общего количества предварительных записей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838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визитов пациента в поликлинику для прохождения профилактического медицинского осмотра или первого этапа диспансеризации определенных групп взрослого населения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единица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4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Производственная нагрузка оборудования, используемого для диагностических исследований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Время ожидания ответа на звонок в медицинскую организацию (в </w:t>
            </w:r>
            <w:proofErr w:type="spellStart"/>
            <w:r>
              <w:rPr>
                <w:sz w:val="24"/>
              </w:rPr>
              <w:t>колл</w:t>
            </w:r>
            <w:proofErr w:type="spellEnd"/>
            <w:r>
              <w:rPr>
                <w:sz w:val="24"/>
              </w:rPr>
              <w:t xml:space="preserve">-центр, регистратуру)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AC1DD9" w:rsidP="001F6C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>секунда, м</w:t>
            </w:r>
            <w:r w:rsidR="00BB3E42">
              <w:rPr>
                <w:sz w:val="24"/>
              </w:rPr>
              <w:t xml:space="preserve">инута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Время ожидания приема, исследования, обслуживания при нахождении в медицинской организации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AC1DD9" w:rsidP="001F6C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секунда, минута, ч</w:t>
            </w:r>
            <w:r w:rsidR="00BB3E42">
              <w:rPr>
                <w:sz w:val="24"/>
              </w:rPr>
              <w:t xml:space="preserve">ас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286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Время выполнения операции процесса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секунда, минута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Время протекания процесса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секунда, минута, час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286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Время работы с медицинской документацией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секунда, минута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Колебания нагрузки между сотрудниками, работающими в одном помещении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BB3E42" w:rsidP="001F6C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человек в очереди на прием, исследование, обслуживание при нахождении в медицинской организации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AC1DD9" w:rsidP="001F6C0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ч</w:t>
            </w:r>
            <w:r w:rsidR="00BB3E42">
              <w:rPr>
                <w:sz w:val="24"/>
              </w:rPr>
              <w:t xml:space="preserve">еловек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838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Пропускная способность процесса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AC1DD9" w:rsidP="001F6C00">
            <w:pPr>
              <w:spacing w:after="0" w:line="259" w:lineRule="auto"/>
              <w:ind w:left="154" w:firstLine="110"/>
              <w:jc w:val="left"/>
            </w:pPr>
            <w:r>
              <w:rPr>
                <w:sz w:val="24"/>
              </w:rPr>
              <w:t xml:space="preserve"> человек в час, человек в смену, ч</w:t>
            </w:r>
            <w:r w:rsidR="00BB3E42">
              <w:rPr>
                <w:sz w:val="24"/>
              </w:rPr>
              <w:t xml:space="preserve">еловек в сутки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 ожидания медицинской помощи, оказываемой в плановой форме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AC1DD9" w:rsidP="001F6C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>час, д</w:t>
            </w:r>
            <w:r w:rsidR="00BB3E42">
              <w:rPr>
                <w:sz w:val="24"/>
              </w:rPr>
              <w:t xml:space="preserve">ень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4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 ожидания оказания первичной медико-санитарной помощи в неотложной форме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AC1DD9" w:rsidP="001F6C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ч</w:t>
            </w:r>
            <w:r w:rsidR="00BB3E42">
              <w:rPr>
                <w:sz w:val="24"/>
              </w:rPr>
              <w:t xml:space="preserve">ас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 ожидания оказания специализированной медицинской помощи в условиях дневного стационара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AC1DD9" w:rsidP="001F6C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д</w:t>
            </w:r>
            <w:r w:rsidR="00BB3E42">
              <w:rPr>
                <w:sz w:val="24"/>
              </w:rPr>
              <w:t xml:space="preserve">ень </w:t>
            </w:r>
          </w:p>
        </w:tc>
      </w:tr>
      <w:tr w:rsidR="00BB3E42" w:rsidTr="00060D97">
        <w:tblPrEx>
          <w:tblCellMar>
            <w:top w:w="53" w:type="dxa"/>
            <w:right w:w="60" w:type="dxa"/>
          </w:tblCellMar>
        </w:tblPrEx>
        <w:trPr>
          <w:trHeight w:val="1114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 ожидания диагностических инструментальных </w:t>
            </w:r>
          </w:p>
          <w:p w:rsidR="00BB3E42" w:rsidRDefault="00BB3E42" w:rsidP="001F6C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(рентгенографические исследования, включая маммографию, функциональная диагностика, ультразвуковые исследования) и лабораторных исследований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42" w:rsidRDefault="00AC1DD9" w:rsidP="001F6C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>час, д</w:t>
            </w:r>
            <w:r w:rsidR="00BB3E42">
              <w:rPr>
                <w:sz w:val="24"/>
              </w:rPr>
              <w:t xml:space="preserve">ень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838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 ожидания диагностических инструментальных и лабораторных исследований в случае подозрения на онкологические заболевания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час, день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838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 ожидания компьютерной томографии (включая однофотонную эмиссионную компьютерную томографию), магнитно-резонансной томографии и ангиографии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час, день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 ожидания консультации врача-специалиста (за исключением подозрения на онкологическое заболевание)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час, день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562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 ожидания консультаций врачей-специалистов в случае подозрения на онкологическое заболевание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час, день </w:t>
            </w:r>
          </w:p>
        </w:tc>
      </w:tr>
      <w:tr w:rsidR="00AC1DD9" w:rsidTr="00060D97">
        <w:tblPrEx>
          <w:tblCellMar>
            <w:top w:w="53" w:type="dxa"/>
            <w:right w:w="60" w:type="dxa"/>
          </w:tblCellMar>
        </w:tblPrEx>
        <w:trPr>
          <w:trHeight w:val="564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D9" w:rsidRDefault="00AC1DD9" w:rsidP="00AC1D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 установления диспансерного наблюдения врача-онколога за пациентом с выявленным онкологическим заболеванием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D9" w:rsidRDefault="00AC1DD9" w:rsidP="00AC1DD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час, день </w:t>
            </w:r>
          </w:p>
        </w:tc>
      </w:tr>
    </w:tbl>
    <w:p w:rsidR="00512DED" w:rsidRPr="00512DED" w:rsidRDefault="00512DED" w:rsidP="00BB3E42">
      <w:pPr>
        <w:ind w:left="0"/>
      </w:pPr>
    </w:p>
    <w:sectPr w:rsidR="00512DED" w:rsidRPr="0051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E24"/>
    <w:multiLevelType w:val="hybridMultilevel"/>
    <w:tmpl w:val="F34E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C0"/>
    <w:rsid w:val="00060D97"/>
    <w:rsid w:val="002A5600"/>
    <w:rsid w:val="00512DED"/>
    <w:rsid w:val="00613AF1"/>
    <w:rsid w:val="006C5742"/>
    <w:rsid w:val="008B2560"/>
    <w:rsid w:val="00AA1471"/>
    <w:rsid w:val="00AC1DD9"/>
    <w:rsid w:val="00BB3E42"/>
    <w:rsid w:val="00C40593"/>
    <w:rsid w:val="00D04EE9"/>
    <w:rsid w:val="00DF7DCF"/>
    <w:rsid w:val="00EC0636"/>
    <w:rsid w:val="00EE734E"/>
    <w:rsid w:val="00F1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71954-EEC1-491A-A436-297AA0CC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42"/>
    <w:pPr>
      <w:spacing w:after="5" w:line="340" w:lineRule="auto"/>
      <w:ind w:left="209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2A5600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EC0636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C063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4059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12DE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BB3E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cp:lastPrinted>2022-03-17T05:50:00Z</cp:lastPrinted>
  <dcterms:created xsi:type="dcterms:W3CDTF">2023-12-15T11:22:00Z</dcterms:created>
  <dcterms:modified xsi:type="dcterms:W3CDTF">2023-12-15T11:22:00Z</dcterms:modified>
</cp:coreProperties>
</file>