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Перечень лекарственных препаратов, отпускаемых населению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в соответствии с перечнем групп населения и категорий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заболеваний, при амбулаторном лечении которых лекарственные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препараты и медицинские изделия отпускаются по рецептам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врачей бесплатно, а также в соответствии с перечнем групп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населения, при амбулаторном лечении которых лекарственные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препараты отпускаются по рецептам врачей с 50-процентной</w:t>
      </w:r>
    </w:p>
    <w:p>
      <w:pPr>
        <w:pStyle w:val="Normal"/>
        <w:widowControl w:val="false"/>
        <w:bidi w:val="0"/>
        <w:spacing w:before="0" w:after="0"/>
        <w:ind w:start="0" w:end="0" w:hanging="0"/>
        <w:jc w:val="center"/>
        <w:rPr/>
      </w:pPr>
      <w:r>
        <w:rPr>
          <w:rFonts w:cs="Arial CYR" w:ascii="Arial CYR" w:hAnsi="Arial CYR"/>
          <w:b/>
          <w:bCs/>
          <w:sz w:val="24"/>
          <w:szCs w:val="24"/>
        </w:rPr>
        <w:t>скидкой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start="0" w:end="0" w:firstLine="540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Гражданам, в соответствии с </w:t>
      </w:r>
      <w:r>
        <w:rPr>
          <w:rFonts w:cs="Times New Roman CYR" w:ascii="Times New Roman CYR" w:hAnsi="Times New Roman CYR"/>
          <w:color w:val="0000FF"/>
          <w:sz w:val="24"/>
          <w:szCs w:val="24"/>
        </w:rPr>
        <w:t>перечнем</w:t>
      </w:r>
      <w:r>
        <w:rPr>
          <w:rFonts w:cs="Times New Roman CYR" w:ascii="Times New Roman CYR" w:hAnsi="Times New Roman CYR"/>
          <w:sz w:val="24"/>
          <w:szCs w:val="24"/>
        </w:rP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лекарственные препараты отпускаются в соответствии с </w:t>
      </w:r>
      <w:r>
        <w:rPr>
          <w:rFonts w:cs="Times New Roman CYR" w:ascii="Times New Roman CYR" w:hAnsi="Times New Roman CYR"/>
          <w:color w:val="0000FF"/>
          <w:sz w:val="24"/>
          <w:szCs w:val="24"/>
        </w:rPr>
        <w:t>перечнем</w:t>
      </w:r>
      <w:r>
        <w:rPr>
          <w:rFonts w:cs="Times New Roman CYR" w:ascii="Times New Roman CYR" w:hAnsi="Times New Roman CYR"/>
          <w:sz w:val="24"/>
          <w:szCs w:val="24"/>
        </w:rPr>
        <w:t xml:space="preserve">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от 12 октября 2019 года N 2406-р "Об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помощи", и в соответствии с перечнем, указанном в Таблице 10, за исключением лекарственных препаратов, используемых исключительно в стационарных условиях, медицинские изделия отпускаются в соответствии с перечнем, утвержденным </w:t>
      </w:r>
      <w:r>
        <w:rPr>
          <w:rFonts w:cs="Times New Roman CYR" w:ascii="Times New Roman CYR" w:hAnsi="Times New Roman CYR"/>
          <w:color w:val="0000FF"/>
          <w:sz w:val="24"/>
          <w:szCs w:val="24"/>
        </w:rPr>
        <w:t>распоряжением</w:t>
      </w:r>
      <w:r>
        <w:rPr>
          <w:rFonts w:cs="Times New Roman CYR" w:ascii="Times New Roman CYR" w:hAnsi="Times New Roman CYR"/>
          <w:sz w:val="24"/>
          <w:szCs w:val="24"/>
        </w:rPr>
        <w:t xml:space="preserve"> Правительства Российской Федерации от 31 декабря 2018 года N 3053-р "Об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услуг".</w:t>
      </w:r>
    </w:p>
    <w:tbl>
      <w:tblPr>
        <w:tblW w:w="9071" w:type="dxa"/>
        <w:jc w:val="start"/>
        <w:tblInd w:w="-1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66"/>
        <w:gridCol w:w="4592"/>
        <w:gridCol w:w="3913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п/п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Лекарственные формы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Бетаксолол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капли глазные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Глимепирид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Клозапин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Колекальциферол + Кальция карбонат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 жевательные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Ламотриджин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Латанопрост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капли глазные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Летрозол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Летрозол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таблетки, покрытые оболочкой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Симетикон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эмульсия для приема внутрь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10.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Системы непрерывного мониторинга глюкозы крови и расходные материалы к ним (дети)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11.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Таурин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капли глазные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12.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Флутиказон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аэрозоль для ингаляций дозированный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13.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Фтивазид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14.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Хлорпротиксен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таблетки, покрытые оболочкой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15.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Эксеместан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таблетки, покрытые оболочкой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16.</w:t>
            </w:r>
          </w:p>
        </w:tc>
        <w:tc>
          <w:tcPr>
            <w:tcW w:w="45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Эсциталопрам</w:t>
            </w:r>
          </w:p>
        </w:tc>
        <w:tc>
          <w:tcPr>
            <w:tcW w:w="39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таблетки, покрытые оболочкой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 CYR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341</Words>
  <Characters>2522</Characters>
  <CharactersWithSpaces>2803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2023-01-30T09:57:49Z</dcterms:modified>
  <cp:revision>1</cp:revision>
  <dc:subject/>
  <dc:title/>
</cp:coreProperties>
</file>