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drawings/drawing1.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F8F" w:rsidRPr="00E74F8F" w:rsidRDefault="00E74F8F" w:rsidP="00E74F8F">
      <w:pPr>
        <w:spacing w:line="240" w:lineRule="auto"/>
        <w:ind w:firstLine="709"/>
        <w:contextualSpacing/>
        <w:jc w:val="both"/>
        <w:rPr>
          <w:rFonts w:ascii="Times New Roman" w:hAnsi="Times New Roman" w:cs="Times New Roman"/>
        </w:rPr>
      </w:pPr>
      <w:r w:rsidRPr="00E74F8F">
        <w:rPr>
          <w:rFonts w:ascii="Times New Roman" w:hAnsi="Times New Roman" w:cs="Times New Roman"/>
        </w:rPr>
        <w:t>Федеральным законом от 21 ноября 2011 г. № 323-ФЗ «Об основах охраны здоровья граждан в Российской Федерации»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74F8F" w:rsidRPr="00E74F8F" w:rsidRDefault="00E74F8F" w:rsidP="00E74F8F">
      <w:pPr>
        <w:spacing w:line="240" w:lineRule="auto"/>
        <w:ind w:firstLine="709"/>
        <w:contextualSpacing/>
        <w:jc w:val="both"/>
        <w:rPr>
          <w:rFonts w:ascii="Times New Roman" w:hAnsi="Times New Roman" w:cs="Times New Roman"/>
        </w:rPr>
      </w:pPr>
      <w:proofErr w:type="gramStart"/>
      <w:r w:rsidRPr="00E74F8F">
        <w:rPr>
          <w:rFonts w:ascii="Times New Roman" w:hAnsi="Times New Roman" w:cs="Times New Roman"/>
        </w:rPr>
        <w:t>В Липецкой области реализуются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принимаются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roofErr w:type="gramEnd"/>
    </w:p>
    <w:p w:rsidR="00E74F8F" w:rsidRPr="00E74F8F" w:rsidRDefault="00E74F8F" w:rsidP="00E74F8F">
      <w:pPr>
        <w:spacing w:line="240" w:lineRule="auto"/>
        <w:ind w:firstLine="426"/>
        <w:contextualSpacing/>
        <w:jc w:val="both"/>
        <w:rPr>
          <w:rFonts w:ascii="Times New Roman" w:hAnsi="Times New Roman" w:cs="Times New Roman"/>
          <w:sz w:val="24"/>
          <w:szCs w:val="24"/>
        </w:rPr>
      </w:pPr>
      <w:r w:rsidRPr="00E74F8F">
        <w:rPr>
          <w:rFonts w:ascii="Times New Roman" w:hAnsi="Times New Roman" w:cs="Times New Roman"/>
        </w:rPr>
        <w:t xml:space="preserve">В общей численности населения области (1139,4 тыс. чел.) женщины составляют 54,3 % (618,4 тыс. чел.), в том числе женщины фертильного возраста – 22,3 % (254,0 тыс. чел.). В 2020 в сравнении с 2019 годом отмечается сокращение численности женского населения репродуктивного возраста на 0,8 % (256,2 в 2019 г. до 254,0 в 2020 г.) </w:t>
      </w:r>
    </w:p>
    <w:p w:rsidR="00E74F8F" w:rsidRPr="00E74F8F" w:rsidRDefault="00E74F8F" w:rsidP="00E74F8F">
      <w:pPr>
        <w:spacing w:line="240" w:lineRule="auto"/>
        <w:ind w:firstLine="426"/>
        <w:contextualSpacing/>
        <w:jc w:val="both"/>
        <w:rPr>
          <w:rFonts w:ascii="Times New Roman" w:hAnsi="Times New Roman" w:cs="Times New Roman"/>
          <w:kern w:val="2"/>
        </w:rPr>
      </w:pPr>
      <w:r w:rsidRPr="00E74F8F">
        <w:rPr>
          <w:rFonts w:ascii="Times New Roman" w:hAnsi="Times New Roman" w:cs="Times New Roman"/>
          <w:kern w:val="2"/>
        </w:rPr>
        <w:t xml:space="preserve">На сегодняшний момент времени служба родовспоможения области представлена 278 койками в 9 родильных стационарах (отделениях), с законодательно закрепленной 3-х уровневой системой оказания помощи женщинам в период беременности, родов и в послеродовый период. </w:t>
      </w:r>
    </w:p>
    <w:p w:rsidR="00E74F8F" w:rsidRPr="00E74F8F" w:rsidRDefault="00E74F8F" w:rsidP="00E74F8F">
      <w:pPr>
        <w:spacing w:line="240" w:lineRule="auto"/>
        <w:ind w:firstLine="426"/>
        <w:contextualSpacing/>
        <w:jc w:val="both"/>
        <w:rPr>
          <w:rFonts w:ascii="Times New Roman" w:hAnsi="Times New Roman" w:cs="Times New Roman"/>
          <w:kern w:val="2"/>
        </w:rPr>
      </w:pPr>
      <w:r w:rsidRPr="00E74F8F">
        <w:rPr>
          <w:rFonts w:ascii="Times New Roman" w:hAnsi="Times New Roman" w:cs="Times New Roman"/>
          <w:kern w:val="2"/>
        </w:rPr>
        <w:t xml:space="preserve">Все учреждения родовспоможения по возможности оказания ими медицинской помощи разделены на 3 группы: 1 группа – 73 койки, 2 группа – 105 коек, 3 группа – областной перинатальный центр – 100 акушерских коек, на которых за 2020 год принято 9390 родов (2019 г. – 9772, 2018 г. – 10935). </w:t>
      </w:r>
    </w:p>
    <w:p w:rsidR="00E74F8F" w:rsidRPr="00E74F8F" w:rsidRDefault="00E74F8F" w:rsidP="00E74F8F">
      <w:pPr>
        <w:spacing w:line="240" w:lineRule="auto"/>
        <w:ind w:firstLine="426"/>
        <w:contextualSpacing/>
        <w:jc w:val="both"/>
        <w:rPr>
          <w:rFonts w:ascii="Times New Roman" w:hAnsi="Times New Roman" w:cs="Times New Roman"/>
          <w:kern w:val="2"/>
        </w:rPr>
      </w:pPr>
      <w:r w:rsidRPr="00E74F8F">
        <w:rPr>
          <w:rFonts w:ascii="Times New Roman" w:hAnsi="Times New Roman" w:cs="Times New Roman"/>
          <w:kern w:val="2"/>
        </w:rPr>
        <w:t xml:space="preserve">Маломощных родильных отделений на территории области с коечной мощностью менее 30 коек – 77,8%. </w:t>
      </w:r>
    </w:p>
    <w:p w:rsidR="00E74F8F" w:rsidRPr="00E74F8F" w:rsidRDefault="00E74F8F" w:rsidP="00E74F8F">
      <w:pPr>
        <w:widowControl w:val="0"/>
        <w:autoSpaceDE w:val="0"/>
        <w:autoSpaceDN w:val="0"/>
        <w:spacing w:line="240" w:lineRule="auto"/>
        <w:ind w:right="-57" w:firstLine="426"/>
        <w:contextualSpacing/>
        <w:jc w:val="both"/>
        <w:rPr>
          <w:rFonts w:ascii="Times New Roman" w:hAnsi="Times New Roman" w:cs="Times New Roman"/>
        </w:rPr>
      </w:pPr>
      <w:r w:rsidRPr="00E74F8F">
        <w:rPr>
          <w:rFonts w:ascii="Times New Roman" w:hAnsi="Times New Roman" w:cs="Times New Roman"/>
        </w:rPr>
        <w:t>В рамках государственной программы «Развитие здравоохранения Липецкой области на 2013 - 2020 годы»</w:t>
      </w:r>
      <w:r w:rsidRPr="00E74F8F">
        <w:rPr>
          <w:rFonts w:ascii="Times New Roman" w:eastAsia="Calibri" w:hAnsi="Times New Roman" w:cs="Times New Roman"/>
          <w:lang w:eastAsia="en-US"/>
        </w:rPr>
        <w:t xml:space="preserve"> на территории области продолжали реализоваться м</w:t>
      </w:r>
      <w:r w:rsidRPr="00E74F8F">
        <w:rPr>
          <w:rFonts w:ascii="Times New Roman" w:hAnsi="Times New Roman" w:cs="Times New Roman"/>
        </w:rPr>
        <w:t xml:space="preserve">ероприятия в сфере охраны здоровья материнства и детства, основной задачей которых является развитие специализированной, в том числе высокотехнологичной, медицинской помощи матерям и детям, а также совершенствование и развитие </w:t>
      </w:r>
      <w:proofErr w:type="spellStart"/>
      <w:r w:rsidRPr="00E74F8F">
        <w:rPr>
          <w:rFonts w:ascii="Times New Roman" w:hAnsi="Times New Roman" w:cs="Times New Roman"/>
        </w:rPr>
        <w:t>пренатальной</w:t>
      </w:r>
      <w:proofErr w:type="spellEnd"/>
      <w:r w:rsidRPr="00E74F8F">
        <w:rPr>
          <w:rFonts w:ascii="Times New Roman" w:hAnsi="Times New Roman" w:cs="Times New Roman"/>
        </w:rPr>
        <w:t xml:space="preserve"> и неонатальной диагностики.</w:t>
      </w:r>
    </w:p>
    <w:p w:rsidR="00E74F8F" w:rsidRPr="00E74F8F" w:rsidRDefault="00E74F8F" w:rsidP="00E74F8F">
      <w:pPr>
        <w:widowControl w:val="0"/>
        <w:autoSpaceDE w:val="0"/>
        <w:autoSpaceDN w:val="0"/>
        <w:spacing w:line="240" w:lineRule="auto"/>
        <w:ind w:right="-57" w:firstLine="426"/>
        <w:contextualSpacing/>
        <w:jc w:val="both"/>
        <w:rPr>
          <w:rFonts w:ascii="Times New Roman" w:hAnsi="Times New Roman" w:cs="Times New Roman"/>
        </w:rPr>
      </w:pPr>
      <w:r w:rsidRPr="00E74F8F">
        <w:rPr>
          <w:rFonts w:ascii="Times New Roman" w:hAnsi="Times New Roman" w:cs="Times New Roman"/>
        </w:rPr>
        <w:t xml:space="preserve">ГУЗ «Липецкий областной перинатальный центр» продолжает свою деятельность по совершенствованию трехуровневой системы организации медицинской помощи женщинам в период беременности и родов и новорожденным, которая позволяет: </w:t>
      </w:r>
    </w:p>
    <w:p w:rsidR="00E74F8F" w:rsidRPr="00E74F8F" w:rsidRDefault="00E74F8F" w:rsidP="00E74F8F">
      <w:pPr>
        <w:widowControl w:val="0"/>
        <w:autoSpaceDE w:val="0"/>
        <w:autoSpaceDN w:val="0"/>
        <w:spacing w:line="240" w:lineRule="auto"/>
        <w:ind w:right="-57"/>
        <w:contextualSpacing/>
        <w:jc w:val="both"/>
        <w:rPr>
          <w:rFonts w:ascii="Times New Roman" w:hAnsi="Times New Roman" w:cs="Times New Roman"/>
        </w:rPr>
      </w:pPr>
      <w:r w:rsidRPr="00E74F8F">
        <w:rPr>
          <w:rFonts w:ascii="Times New Roman" w:hAnsi="Times New Roman" w:cs="Times New Roman"/>
        </w:rPr>
        <w:t>- оперативно распределять потоки беременных, поступающих как в плановом, так и в экстренном порядке;</w:t>
      </w:r>
    </w:p>
    <w:p w:rsidR="00E74F8F" w:rsidRPr="00E74F8F" w:rsidRDefault="00E74F8F" w:rsidP="00E74F8F">
      <w:pPr>
        <w:widowControl w:val="0"/>
        <w:autoSpaceDE w:val="0"/>
        <w:autoSpaceDN w:val="0"/>
        <w:spacing w:line="240" w:lineRule="auto"/>
        <w:ind w:right="-57"/>
        <w:contextualSpacing/>
        <w:jc w:val="both"/>
        <w:rPr>
          <w:rFonts w:ascii="Times New Roman" w:hAnsi="Times New Roman" w:cs="Times New Roman"/>
        </w:rPr>
      </w:pPr>
      <w:r w:rsidRPr="00E74F8F">
        <w:rPr>
          <w:rFonts w:ascii="Times New Roman" w:hAnsi="Times New Roman" w:cs="Times New Roman"/>
        </w:rPr>
        <w:t>- обеспечивать пациенток, в том числе, проживающих в сельской местности и отдаленных районах, имеющих показания, медицинской помощью в условиях трехуровневой системы в перинатальном центре;</w:t>
      </w:r>
    </w:p>
    <w:p w:rsidR="00E74F8F" w:rsidRPr="00E74F8F" w:rsidRDefault="00E74F8F" w:rsidP="00E74F8F">
      <w:pPr>
        <w:widowControl w:val="0"/>
        <w:autoSpaceDE w:val="0"/>
        <w:autoSpaceDN w:val="0"/>
        <w:spacing w:line="240" w:lineRule="auto"/>
        <w:ind w:right="-57"/>
        <w:contextualSpacing/>
        <w:jc w:val="both"/>
        <w:rPr>
          <w:rFonts w:ascii="Times New Roman" w:hAnsi="Times New Roman" w:cs="Times New Roman"/>
        </w:rPr>
      </w:pPr>
      <w:r w:rsidRPr="00E74F8F">
        <w:rPr>
          <w:rFonts w:ascii="Times New Roman" w:hAnsi="Times New Roman" w:cs="Times New Roman"/>
        </w:rPr>
        <w:t>- обеспечить взаимодействие и формирование обратной связи между перинатальным центром и акушерскими стационарами Липецкой области, в том числе расположенными в сельских и отдаленных районах, с использованием дистанционных технологий консультирования;</w:t>
      </w:r>
    </w:p>
    <w:p w:rsidR="00590EFE" w:rsidRDefault="00E74F8F" w:rsidP="00590EFE">
      <w:pPr>
        <w:widowControl w:val="0"/>
        <w:autoSpaceDE w:val="0"/>
        <w:autoSpaceDN w:val="0"/>
        <w:spacing w:line="240" w:lineRule="auto"/>
        <w:ind w:right="-57"/>
        <w:contextualSpacing/>
        <w:jc w:val="both"/>
        <w:rPr>
          <w:rFonts w:ascii="Times New Roman" w:hAnsi="Times New Roman" w:cs="Times New Roman"/>
        </w:rPr>
      </w:pPr>
      <w:r w:rsidRPr="00E74F8F">
        <w:rPr>
          <w:rFonts w:ascii="Times New Roman" w:hAnsi="Times New Roman" w:cs="Times New Roman"/>
        </w:rPr>
        <w:t>- осуществлять специалистами акушерского дистанционного консультативного центра  мониторинг состояния здоровья беременных, состоящих на учете в женских консультациях с использованием телекоммуникационных технологий.</w:t>
      </w:r>
    </w:p>
    <w:p w:rsidR="00E74F8F" w:rsidRPr="00E74F8F" w:rsidRDefault="00E74F8F" w:rsidP="00590EFE">
      <w:pPr>
        <w:widowControl w:val="0"/>
        <w:autoSpaceDE w:val="0"/>
        <w:autoSpaceDN w:val="0"/>
        <w:spacing w:line="240" w:lineRule="auto"/>
        <w:ind w:right="-57" w:firstLine="426"/>
        <w:contextualSpacing/>
        <w:jc w:val="both"/>
        <w:rPr>
          <w:rFonts w:ascii="Times New Roman" w:hAnsi="Times New Roman" w:cs="Times New Roman"/>
          <w:sz w:val="24"/>
          <w:szCs w:val="24"/>
        </w:rPr>
      </w:pPr>
      <w:r w:rsidRPr="00E74F8F">
        <w:rPr>
          <w:rFonts w:ascii="Times New Roman" w:hAnsi="Times New Roman" w:cs="Times New Roman"/>
          <w:sz w:val="24"/>
          <w:szCs w:val="24"/>
        </w:rPr>
        <w:t>За 2020 год специалистами дистанционного акушерского консультативного центра ГУЗ «Липецкий областной перинатальный центр» было проконсультировано  более 5000 женщин (за 2018год – 5381, за 2019 год – 4374). Продолжена работа по наблюдению за каждой беременной, которая обеспечивается ведением единого реестра беременных женщин Липецкой области.</w:t>
      </w:r>
    </w:p>
    <w:p w:rsidR="00E74F8F" w:rsidRPr="00E74F8F" w:rsidRDefault="00E74F8F" w:rsidP="00E74F8F">
      <w:pPr>
        <w:pStyle w:val="ConsNonformat"/>
        <w:ind w:firstLine="426"/>
        <w:contextualSpacing/>
        <w:jc w:val="both"/>
        <w:rPr>
          <w:rFonts w:ascii="Times New Roman" w:hAnsi="Times New Roman" w:cs="Times New Roman"/>
          <w:sz w:val="24"/>
          <w:szCs w:val="24"/>
        </w:rPr>
      </w:pPr>
      <w:r w:rsidRPr="00E74F8F">
        <w:rPr>
          <w:rFonts w:ascii="Times New Roman" w:hAnsi="Times New Roman" w:cs="Times New Roman"/>
          <w:sz w:val="24"/>
          <w:szCs w:val="24"/>
        </w:rPr>
        <w:t xml:space="preserve">В перинатальном центре активно продолжают свою работу отделения реанимации новорожденных и отделение патологии новорожденных и недоношенных детей. Так, за 2019 год в отделении ОРИТ новорожденных было пролечено 633 маленьких пациента, в 2020 году - 602. Это дети, рожденные раньше срока и дети с тяжелой сопутствующей патологией. </w:t>
      </w:r>
    </w:p>
    <w:p w:rsidR="00E74F8F" w:rsidRPr="00E74F8F" w:rsidRDefault="00E74F8F" w:rsidP="00E74F8F">
      <w:pPr>
        <w:pStyle w:val="ConsNonformat"/>
        <w:ind w:firstLine="426"/>
        <w:contextualSpacing/>
        <w:jc w:val="both"/>
        <w:rPr>
          <w:rFonts w:ascii="Times New Roman" w:hAnsi="Times New Roman" w:cs="Times New Roman"/>
          <w:sz w:val="24"/>
          <w:szCs w:val="24"/>
        </w:rPr>
      </w:pPr>
      <w:r w:rsidRPr="00E74F8F">
        <w:rPr>
          <w:rFonts w:ascii="Times New Roman" w:hAnsi="Times New Roman" w:cs="Times New Roman"/>
          <w:sz w:val="24"/>
          <w:szCs w:val="24"/>
        </w:rPr>
        <w:t xml:space="preserve">В отделении недоношенных детей ежегодно получают медицинскую помощь более 600 новорожденных. Широко применяются   телемедицинские технологии в форме </w:t>
      </w:r>
      <w:proofErr w:type="spellStart"/>
      <w:r w:rsidRPr="00E74F8F">
        <w:rPr>
          <w:rFonts w:ascii="Times New Roman" w:hAnsi="Times New Roman" w:cs="Times New Roman"/>
          <w:sz w:val="24"/>
          <w:szCs w:val="24"/>
        </w:rPr>
        <w:lastRenderedPageBreak/>
        <w:t>телеобучения</w:t>
      </w:r>
      <w:proofErr w:type="spellEnd"/>
      <w:r w:rsidRPr="00E74F8F">
        <w:rPr>
          <w:rFonts w:ascii="Times New Roman" w:hAnsi="Times New Roman" w:cs="Times New Roman"/>
          <w:sz w:val="24"/>
          <w:szCs w:val="24"/>
        </w:rPr>
        <w:t xml:space="preserve"> и дистанционного консультирования. На регулярной основе проводятся </w:t>
      </w:r>
      <w:proofErr w:type="spellStart"/>
      <w:r w:rsidRPr="00E74F8F">
        <w:rPr>
          <w:rFonts w:ascii="Times New Roman" w:hAnsi="Times New Roman" w:cs="Times New Roman"/>
          <w:sz w:val="24"/>
          <w:szCs w:val="24"/>
        </w:rPr>
        <w:t>видеоконсультации</w:t>
      </w:r>
      <w:proofErr w:type="spellEnd"/>
      <w:r w:rsidRPr="00E74F8F">
        <w:rPr>
          <w:rFonts w:ascii="Times New Roman" w:hAnsi="Times New Roman" w:cs="Times New Roman"/>
          <w:sz w:val="24"/>
          <w:szCs w:val="24"/>
        </w:rPr>
        <w:t xml:space="preserve"> со специалистами Федеральных центров </w:t>
      </w:r>
      <w:proofErr w:type="spellStart"/>
      <w:r w:rsidRPr="00E74F8F">
        <w:rPr>
          <w:rFonts w:ascii="Times New Roman" w:hAnsi="Times New Roman" w:cs="Times New Roman"/>
          <w:sz w:val="24"/>
          <w:szCs w:val="24"/>
        </w:rPr>
        <w:t>г.г</w:t>
      </w:r>
      <w:proofErr w:type="spellEnd"/>
      <w:r w:rsidRPr="00E74F8F">
        <w:rPr>
          <w:rFonts w:ascii="Times New Roman" w:hAnsi="Times New Roman" w:cs="Times New Roman"/>
          <w:sz w:val="24"/>
          <w:szCs w:val="24"/>
        </w:rPr>
        <w:t xml:space="preserve">. Москвы, Санкт-Петербурга, Иваново. </w:t>
      </w:r>
    </w:p>
    <w:p w:rsidR="00E74F8F" w:rsidRPr="00E74F8F" w:rsidRDefault="00E74F8F" w:rsidP="00E74F8F">
      <w:pPr>
        <w:pStyle w:val="ConsNonformat"/>
        <w:ind w:firstLine="426"/>
        <w:contextualSpacing/>
        <w:jc w:val="both"/>
        <w:rPr>
          <w:rFonts w:ascii="Times New Roman" w:hAnsi="Times New Roman" w:cs="Times New Roman"/>
          <w:sz w:val="24"/>
          <w:szCs w:val="24"/>
        </w:rPr>
      </w:pPr>
      <w:r w:rsidRPr="00E74F8F">
        <w:rPr>
          <w:rFonts w:ascii="Times New Roman" w:hAnsi="Times New Roman" w:cs="Times New Roman"/>
          <w:sz w:val="24"/>
          <w:szCs w:val="24"/>
        </w:rPr>
        <w:t>На базе ГУЗ «Липецкий областной перинатальный центр» продолжается оказание высокотехнологичной помощи по профилю «акушерство и гинекология», «неонатология», что позволяет женщинам Липецкой области своевременно получать весь комплекс диагностических и лечебных процедур при осложненном течении беременности, а также улучшает прогноз для новорожденных, рожденных с экстремально низкой и очень низкой массой тела. В 2020 году, как и в 2019  высокотехнологичную медицинскую помощь получили 20 новорожденных.</w:t>
      </w:r>
    </w:p>
    <w:p w:rsidR="00E74F8F" w:rsidRPr="00E74F8F" w:rsidRDefault="00E74F8F" w:rsidP="00E74F8F">
      <w:pPr>
        <w:pStyle w:val="ConsPlusCell"/>
        <w:tabs>
          <w:tab w:val="left" w:pos="350"/>
        </w:tabs>
        <w:ind w:firstLine="426"/>
        <w:contextualSpacing/>
        <w:jc w:val="both"/>
        <w:rPr>
          <w:rFonts w:ascii="Times New Roman" w:hAnsi="Times New Roman" w:cs="Times New Roman"/>
          <w:sz w:val="24"/>
          <w:szCs w:val="24"/>
        </w:rPr>
      </w:pPr>
      <w:r w:rsidRPr="00E74F8F">
        <w:rPr>
          <w:rFonts w:ascii="Times New Roman" w:hAnsi="Times New Roman" w:cs="Times New Roman"/>
          <w:sz w:val="24"/>
          <w:szCs w:val="24"/>
        </w:rPr>
        <w:t>При анализе состояния репродуктивного здоровья девочек-подростков за 2020 год отмечается снижение заболеваемости сальпингитами и оофоритами в динамике с 2018 годом, что связано с улучшением качества клинико-диагностического обследования. Своевременная диагностика и лечение данной нозологической формы позволяет улучшить прогноз дальнейшего репродуктивного здоровья. В заболеваниях, связанных с расстройством менструальной функции у девочек-подростков также наметилась тенденция к снижению.</w:t>
      </w:r>
    </w:p>
    <w:p w:rsidR="00E74F8F" w:rsidRDefault="00E74F8F" w:rsidP="00E74F8F">
      <w:pPr>
        <w:contextualSpacing/>
        <w:jc w:val="center"/>
        <w:rPr>
          <w:rFonts w:ascii="Times New Roman" w:hAnsi="Times New Roman" w:cs="Times New Roman"/>
          <w:b/>
          <w:bCs/>
          <w:color w:val="000000"/>
        </w:rPr>
      </w:pPr>
    </w:p>
    <w:p w:rsidR="00E74F8F" w:rsidRPr="00E74F8F" w:rsidRDefault="00E74F8F" w:rsidP="00E74F8F">
      <w:pPr>
        <w:jc w:val="center"/>
        <w:rPr>
          <w:rFonts w:ascii="Times New Roman" w:hAnsi="Times New Roman" w:cs="Times New Roman"/>
          <w:b/>
          <w:bCs/>
          <w:color w:val="000000"/>
          <w:sz w:val="24"/>
          <w:szCs w:val="24"/>
        </w:rPr>
      </w:pPr>
      <w:r w:rsidRPr="00E74F8F">
        <w:rPr>
          <w:rFonts w:ascii="Times New Roman" w:hAnsi="Times New Roman" w:cs="Times New Roman"/>
          <w:b/>
          <w:bCs/>
          <w:color w:val="000000"/>
        </w:rPr>
        <w:t xml:space="preserve">Гинекологическая заболеваемость подростков (девушек) </w:t>
      </w:r>
    </w:p>
    <w:p w:rsidR="00E74F8F" w:rsidRPr="00E74F8F" w:rsidRDefault="00E74F8F" w:rsidP="00E74F8F">
      <w:pPr>
        <w:jc w:val="center"/>
        <w:rPr>
          <w:rFonts w:ascii="Times New Roman" w:hAnsi="Times New Roman" w:cs="Times New Roman"/>
          <w:b/>
          <w:bCs/>
        </w:rPr>
      </w:pPr>
      <w:r w:rsidRPr="00E74F8F">
        <w:rPr>
          <w:rFonts w:ascii="Times New Roman" w:hAnsi="Times New Roman" w:cs="Times New Roman"/>
          <w:b/>
          <w:bCs/>
        </w:rPr>
        <w:t xml:space="preserve">на 1000 соответствующего населения                  </w:t>
      </w:r>
    </w:p>
    <w:p w:rsidR="00E74F8F" w:rsidRPr="00E74F8F" w:rsidRDefault="00E74F8F" w:rsidP="00E74F8F">
      <w:pPr>
        <w:jc w:val="center"/>
        <w:rPr>
          <w:rFonts w:ascii="Times New Roman" w:hAnsi="Times New Roman" w:cs="Times New Roman"/>
          <w:b/>
          <w:bCs/>
        </w:rPr>
      </w:pPr>
      <w:r w:rsidRPr="00E74F8F">
        <w:rPr>
          <w:rFonts w:ascii="Times New Roman" w:hAnsi="Times New Roman" w:cs="Times New Roman"/>
          <w:noProof/>
        </w:rPr>
        <w:drawing>
          <wp:inline distT="0" distB="0" distL="0" distR="0" wp14:anchorId="07EE9A8C" wp14:editId="67AB96F8">
            <wp:extent cx="5943600" cy="246507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74F8F" w:rsidRPr="00E74F8F" w:rsidRDefault="00E74F8F" w:rsidP="00E74F8F">
      <w:pPr>
        <w:jc w:val="center"/>
        <w:rPr>
          <w:rFonts w:ascii="Times New Roman" w:hAnsi="Times New Roman" w:cs="Times New Roman"/>
        </w:rPr>
      </w:pPr>
    </w:p>
    <w:tbl>
      <w:tblPr>
        <w:tblW w:w="13935" w:type="dxa"/>
        <w:tblInd w:w="-5" w:type="dxa"/>
        <w:tblLayout w:type="fixed"/>
        <w:tblLook w:val="04A0" w:firstRow="1" w:lastRow="0" w:firstColumn="1" w:lastColumn="0" w:noHBand="0" w:noVBand="1"/>
      </w:tblPr>
      <w:tblGrid>
        <w:gridCol w:w="3025"/>
        <w:gridCol w:w="1088"/>
        <w:gridCol w:w="1092"/>
        <w:gridCol w:w="1088"/>
        <w:gridCol w:w="1092"/>
        <w:gridCol w:w="1088"/>
        <w:gridCol w:w="1092"/>
        <w:gridCol w:w="2181"/>
        <w:gridCol w:w="2189"/>
      </w:tblGrid>
      <w:tr w:rsidR="00E74F8F" w:rsidRPr="00E74F8F" w:rsidTr="00E74F8F">
        <w:trPr>
          <w:cantSplit/>
          <w:trHeight w:val="318"/>
        </w:trPr>
        <w:tc>
          <w:tcPr>
            <w:tcW w:w="3026" w:type="dxa"/>
            <w:vMerge w:val="restart"/>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rPr>
              <w:t>Нозологические формы</w:t>
            </w:r>
          </w:p>
        </w:tc>
        <w:tc>
          <w:tcPr>
            <w:tcW w:w="2181" w:type="dxa"/>
            <w:gridSpan w:val="2"/>
            <w:tcBorders>
              <w:top w:val="single" w:sz="4" w:space="0" w:color="auto"/>
              <w:left w:val="single" w:sz="4" w:space="0" w:color="auto"/>
              <w:bottom w:val="single" w:sz="4" w:space="0" w:color="auto"/>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2018</w:t>
            </w:r>
          </w:p>
        </w:tc>
        <w:tc>
          <w:tcPr>
            <w:tcW w:w="2180" w:type="dxa"/>
            <w:gridSpan w:val="2"/>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2019</w:t>
            </w:r>
          </w:p>
        </w:tc>
        <w:tc>
          <w:tcPr>
            <w:tcW w:w="2180" w:type="dxa"/>
            <w:gridSpan w:val="2"/>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2020</w:t>
            </w:r>
          </w:p>
        </w:tc>
        <w:tc>
          <w:tcPr>
            <w:tcW w:w="2181" w:type="dxa"/>
            <w:tcBorders>
              <w:top w:val="nil"/>
              <w:left w:val="single" w:sz="4" w:space="0" w:color="auto"/>
              <w:bottom w:val="nil"/>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color w:val="000000"/>
              </w:rPr>
              <w:t>2017</w:t>
            </w:r>
          </w:p>
        </w:tc>
        <w:tc>
          <w:tcPr>
            <w:tcW w:w="2189" w:type="dxa"/>
            <w:tcBorders>
              <w:top w:val="single" w:sz="4" w:space="0" w:color="000000"/>
              <w:left w:val="nil"/>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color w:val="000000"/>
              </w:rPr>
              <w:t>2018</w:t>
            </w:r>
          </w:p>
        </w:tc>
      </w:tr>
      <w:tr w:rsidR="00E74F8F" w:rsidRPr="00E74F8F" w:rsidTr="00E74F8F">
        <w:trPr>
          <w:gridAfter w:val="2"/>
          <w:wAfter w:w="4370" w:type="dxa"/>
          <w:cantSplit/>
          <w:trHeight w:val="318"/>
        </w:trPr>
        <w:tc>
          <w:tcPr>
            <w:tcW w:w="3026" w:type="dxa"/>
            <w:vMerge/>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p>
        </w:tc>
        <w:tc>
          <w:tcPr>
            <w:tcW w:w="1089"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iCs/>
                <w:sz w:val="24"/>
                <w:szCs w:val="24"/>
                <w:lang w:eastAsia="zh-CN"/>
              </w:rPr>
            </w:pPr>
            <w:proofErr w:type="spellStart"/>
            <w:r w:rsidRPr="00E74F8F">
              <w:rPr>
                <w:rFonts w:ascii="Times New Roman" w:hAnsi="Times New Roman" w:cs="Times New Roman"/>
                <w:i/>
                <w:iCs/>
                <w:color w:val="000000"/>
              </w:rPr>
              <w:t>абс</w:t>
            </w:r>
            <w:proofErr w:type="spellEnd"/>
            <w:r w:rsidRPr="00E74F8F">
              <w:rPr>
                <w:rFonts w:ascii="Times New Roman" w:hAnsi="Times New Roman" w:cs="Times New Roman"/>
                <w:i/>
                <w:iCs/>
                <w:color w:val="000000"/>
              </w:rPr>
              <w:t>.</w:t>
            </w:r>
          </w:p>
        </w:tc>
        <w:tc>
          <w:tcPr>
            <w:tcW w:w="1092"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iCs/>
                <w:sz w:val="24"/>
                <w:szCs w:val="24"/>
                <w:lang w:eastAsia="zh-CN"/>
              </w:rPr>
            </w:pPr>
            <w:r w:rsidRPr="00E74F8F">
              <w:rPr>
                <w:rFonts w:ascii="Times New Roman" w:hAnsi="Times New Roman" w:cs="Times New Roman"/>
                <w:i/>
                <w:iCs/>
                <w:color w:val="000000"/>
              </w:rPr>
              <w:t>показ.</w:t>
            </w:r>
          </w:p>
        </w:tc>
        <w:tc>
          <w:tcPr>
            <w:tcW w:w="108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iCs/>
                <w:sz w:val="24"/>
                <w:szCs w:val="24"/>
                <w:lang w:eastAsia="zh-CN"/>
              </w:rPr>
            </w:pPr>
            <w:proofErr w:type="spellStart"/>
            <w:r w:rsidRPr="00E74F8F">
              <w:rPr>
                <w:rFonts w:ascii="Times New Roman" w:hAnsi="Times New Roman" w:cs="Times New Roman"/>
                <w:i/>
                <w:iCs/>
                <w:color w:val="000000"/>
              </w:rPr>
              <w:t>абс</w:t>
            </w:r>
            <w:proofErr w:type="spellEnd"/>
            <w:r w:rsidRPr="00E74F8F">
              <w:rPr>
                <w:rFonts w:ascii="Times New Roman" w:hAnsi="Times New Roman" w:cs="Times New Roman"/>
                <w:i/>
                <w:iCs/>
                <w:color w:val="000000"/>
              </w:rPr>
              <w:t>.</w:t>
            </w:r>
          </w:p>
        </w:tc>
        <w:tc>
          <w:tcPr>
            <w:tcW w:w="1092"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iCs/>
                <w:sz w:val="24"/>
                <w:szCs w:val="24"/>
                <w:lang w:eastAsia="zh-CN"/>
              </w:rPr>
            </w:pPr>
            <w:r w:rsidRPr="00E74F8F">
              <w:rPr>
                <w:rFonts w:ascii="Times New Roman" w:hAnsi="Times New Roman" w:cs="Times New Roman"/>
                <w:i/>
                <w:iCs/>
                <w:color w:val="000000"/>
              </w:rPr>
              <w:t>показ.</w:t>
            </w:r>
          </w:p>
        </w:tc>
        <w:tc>
          <w:tcPr>
            <w:tcW w:w="108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iCs/>
                <w:sz w:val="24"/>
                <w:szCs w:val="24"/>
                <w:lang w:eastAsia="zh-CN"/>
              </w:rPr>
            </w:pPr>
            <w:proofErr w:type="spellStart"/>
            <w:r w:rsidRPr="00E74F8F">
              <w:rPr>
                <w:rFonts w:ascii="Times New Roman" w:hAnsi="Times New Roman" w:cs="Times New Roman"/>
                <w:i/>
                <w:iCs/>
                <w:color w:val="000000"/>
              </w:rPr>
              <w:t>абс</w:t>
            </w:r>
            <w:proofErr w:type="spellEnd"/>
            <w:r w:rsidRPr="00E74F8F">
              <w:rPr>
                <w:rFonts w:ascii="Times New Roman" w:hAnsi="Times New Roman" w:cs="Times New Roman"/>
                <w:i/>
                <w:iCs/>
                <w:color w:val="000000"/>
              </w:rPr>
              <w:t>.</w:t>
            </w:r>
          </w:p>
        </w:tc>
        <w:tc>
          <w:tcPr>
            <w:tcW w:w="1092"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iCs/>
                <w:sz w:val="24"/>
                <w:szCs w:val="24"/>
                <w:lang w:eastAsia="zh-CN"/>
              </w:rPr>
            </w:pPr>
            <w:r w:rsidRPr="00E74F8F">
              <w:rPr>
                <w:rFonts w:ascii="Times New Roman" w:hAnsi="Times New Roman" w:cs="Times New Roman"/>
                <w:i/>
                <w:iCs/>
                <w:color w:val="000000"/>
              </w:rPr>
              <w:t>показ.</w:t>
            </w:r>
          </w:p>
        </w:tc>
      </w:tr>
      <w:tr w:rsidR="00E74F8F" w:rsidRPr="00E74F8F" w:rsidTr="00E74F8F">
        <w:trPr>
          <w:gridAfter w:val="2"/>
          <w:wAfter w:w="4370" w:type="dxa"/>
        </w:trPr>
        <w:tc>
          <w:tcPr>
            <w:tcW w:w="3026"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i/>
                <w:sz w:val="24"/>
                <w:szCs w:val="24"/>
                <w:lang w:eastAsia="zh-CN"/>
              </w:rPr>
            </w:pPr>
            <w:r w:rsidRPr="00E74F8F">
              <w:rPr>
                <w:rFonts w:ascii="Times New Roman" w:hAnsi="Times New Roman" w:cs="Times New Roman"/>
                <w:i/>
              </w:rPr>
              <w:t>Сальпингит и оофорит</w:t>
            </w:r>
          </w:p>
        </w:tc>
        <w:tc>
          <w:tcPr>
            <w:tcW w:w="1089"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98</w:t>
            </w:r>
          </w:p>
        </w:tc>
        <w:tc>
          <w:tcPr>
            <w:tcW w:w="1092"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6,5</w:t>
            </w:r>
          </w:p>
        </w:tc>
        <w:tc>
          <w:tcPr>
            <w:tcW w:w="108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103</w:t>
            </w:r>
          </w:p>
        </w:tc>
        <w:tc>
          <w:tcPr>
            <w:tcW w:w="1092"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6,7</w:t>
            </w:r>
          </w:p>
        </w:tc>
        <w:tc>
          <w:tcPr>
            <w:tcW w:w="108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76</w:t>
            </w:r>
          </w:p>
        </w:tc>
        <w:tc>
          <w:tcPr>
            <w:tcW w:w="1092"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4,8</w:t>
            </w:r>
          </w:p>
        </w:tc>
      </w:tr>
      <w:tr w:rsidR="00E74F8F" w:rsidRPr="00E74F8F" w:rsidTr="00E74F8F">
        <w:trPr>
          <w:gridAfter w:val="2"/>
          <w:wAfter w:w="4370" w:type="dxa"/>
        </w:trPr>
        <w:tc>
          <w:tcPr>
            <w:tcW w:w="3026"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i/>
                <w:sz w:val="24"/>
                <w:szCs w:val="24"/>
                <w:lang w:eastAsia="zh-CN"/>
              </w:rPr>
            </w:pPr>
            <w:r w:rsidRPr="00E74F8F">
              <w:rPr>
                <w:rFonts w:ascii="Times New Roman" w:hAnsi="Times New Roman" w:cs="Times New Roman"/>
                <w:i/>
              </w:rPr>
              <w:t>Расстройства менструаций</w:t>
            </w:r>
          </w:p>
        </w:tc>
        <w:tc>
          <w:tcPr>
            <w:tcW w:w="1089"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192</w:t>
            </w:r>
          </w:p>
        </w:tc>
        <w:tc>
          <w:tcPr>
            <w:tcW w:w="1092"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12,8</w:t>
            </w:r>
          </w:p>
        </w:tc>
        <w:tc>
          <w:tcPr>
            <w:tcW w:w="108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218</w:t>
            </w:r>
          </w:p>
        </w:tc>
        <w:tc>
          <w:tcPr>
            <w:tcW w:w="1092"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14,2</w:t>
            </w:r>
          </w:p>
        </w:tc>
        <w:tc>
          <w:tcPr>
            <w:tcW w:w="108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182</w:t>
            </w:r>
          </w:p>
        </w:tc>
        <w:tc>
          <w:tcPr>
            <w:tcW w:w="1092"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i/>
                <w:sz w:val="24"/>
                <w:szCs w:val="24"/>
                <w:lang w:eastAsia="zh-CN"/>
              </w:rPr>
            </w:pPr>
            <w:r w:rsidRPr="00E74F8F">
              <w:rPr>
                <w:rFonts w:ascii="Times New Roman" w:hAnsi="Times New Roman" w:cs="Times New Roman"/>
                <w:color w:val="000000"/>
              </w:rPr>
              <w:t>11,5</w:t>
            </w:r>
          </w:p>
        </w:tc>
      </w:tr>
    </w:tbl>
    <w:p w:rsidR="00E74F8F" w:rsidRPr="00E74F8F" w:rsidRDefault="00E74F8F" w:rsidP="00E74F8F">
      <w:pPr>
        <w:tabs>
          <w:tab w:val="left" w:pos="708"/>
          <w:tab w:val="left" w:pos="8300"/>
        </w:tabs>
        <w:jc w:val="both"/>
        <w:rPr>
          <w:rFonts w:ascii="Times New Roman" w:hAnsi="Times New Roman" w:cs="Times New Roman"/>
          <w:i/>
          <w:lang w:eastAsia="zh-CN"/>
        </w:rPr>
      </w:pPr>
      <w:r w:rsidRPr="00E74F8F">
        <w:rPr>
          <w:rFonts w:ascii="Times New Roman" w:hAnsi="Times New Roman" w:cs="Times New Roman"/>
          <w:i/>
        </w:rPr>
        <w:tab/>
      </w:r>
      <w:r w:rsidRPr="00E74F8F">
        <w:rPr>
          <w:rFonts w:ascii="Times New Roman" w:hAnsi="Times New Roman" w:cs="Times New Roman"/>
          <w:i/>
        </w:rPr>
        <w:tab/>
      </w:r>
    </w:p>
    <w:p w:rsidR="00E74F8F" w:rsidRPr="00E74F8F" w:rsidRDefault="00E74F8F" w:rsidP="00E74F8F">
      <w:pPr>
        <w:ind w:firstLine="426"/>
        <w:jc w:val="both"/>
        <w:rPr>
          <w:rFonts w:ascii="Times New Roman" w:hAnsi="Times New Roman" w:cs="Times New Roman"/>
        </w:rPr>
      </w:pPr>
      <w:proofErr w:type="gramStart"/>
      <w:r w:rsidRPr="00E74F8F">
        <w:rPr>
          <w:rFonts w:ascii="Times New Roman" w:hAnsi="Times New Roman" w:cs="Times New Roman"/>
        </w:rPr>
        <w:t>Важное значение</w:t>
      </w:r>
      <w:proofErr w:type="gramEnd"/>
      <w:r w:rsidRPr="00E74F8F">
        <w:rPr>
          <w:rFonts w:ascii="Times New Roman" w:hAnsi="Times New Roman" w:cs="Times New Roman"/>
        </w:rPr>
        <w:t xml:space="preserve"> для демографической ситуации региона имеет состояние репродуктивного здоровья женщин, которое в значительной степени определяется гинекологической заболеваемостью. В 2020 году отмечается снижение числа отдельных заболеваний, приводящих к развитию бесплодия, что в динамике с 2018 годом позволило уменьшить показатель в 1,4 раза. </w:t>
      </w:r>
    </w:p>
    <w:p w:rsidR="00E74F8F" w:rsidRPr="00E74F8F" w:rsidRDefault="00E74F8F" w:rsidP="00E74F8F">
      <w:pPr>
        <w:jc w:val="center"/>
        <w:rPr>
          <w:rFonts w:ascii="Times New Roman" w:hAnsi="Times New Roman" w:cs="Times New Roman"/>
          <w:b/>
          <w:bCs/>
        </w:rPr>
      </w:pPr>
    </w:p>
    <w:p w:rsidR="00E74F8F" w:rsidRPr="00E74F8F" w:rsidRDefault="00E74F8F" w:rsidP="00E74F8F">
      <w:pPr>
        <w:jc w:val="center"/>
        <w:rPr>
          <w:rFonts w:ascii="Times New Roman" w:hAnsi="Times New Roman" w:cs="Times New Roman"/>
          <w:b/>
          <w:bCs/>
        </w:rPr>
      </w:pPr>
    </w:p>
    <w:p w:rsidR="00E74F8F" w:rsidRPr="00E74F8F" w:rsidRDefault="00E74F8F" w:rsidP="00E74F8F">
      <w:pPr>
        <w:jc w:val="center"/>
        <w:rPr>
          <w:rFonts w:ascii="Times New Roman" w:hAnsi="Times New Roman" w:cs="Times New Roman"/>
          <w:b/>
          <w:bCs/>
        </w:rPr>
      </w:pPr>
      <w:r w:rsidRPr="00E74F8F">
        <w:rPr>
          <w:rFonts w:ascii="Times New Roman" w:hAnsi="Times New Roman" w:cs="Times New Roman"/>
          <w:b/>
          <w:bCs/>
        </w:rPr>
        <w:t>Гинекологическая заболеваемость на 1000 соответствующего населения</w:t>
      </w:r>
    </w:p>
    <w:p w:rsidR="00E74F8F" w:rsidRPr="00E74F8F" w:rsidRDefault="00E74F8F" w:rsidP="00E74F8F">
      <w:pPr>
        <w:jc w:val="center"/>
        <w:rPr>
          <w:rFonts w:ascii="Times New Roman" w:hAnsi="Times New Roman" w:cs="Times New Roman"/>
          <w:b/>
          <w:bCs/>
          <w:lang w:val="en-US"/>
        </w:rPr>
      </w:pPr>
    </w:p>
    <w:p w:rsidR="00E74F8F" w:rsidRPr="00E74F8F" w:rsidRDefault="00E74F8F" w:rsidP="00E74F8F">
      <w:pPr>
        <w:jc w:val="center"/>
        <w:rPr>
          <w:rFonts w:ascii="Times New Roman" w:hAnsi="Times New Roman" w:cs="Times New Roman"/>
        </w:rPr>
      </w:pPr>
      <w:r w:rsidRPr="00E74F8F">
        <w:rPr>
          <w:rFonts w:ascii="Times New Roman" w:hAnsi="Times New Roman" w:cs="Times New Roman"/>
          <w:noProof/>
        </w:rPr>
        <w:drawing>
          <wp:inline distT="0" distB="0" distL="0" distR="0" wp14:anchorId="3CCB8515" wp14:editId="66BD3A10">
            <wp:extent cx="5943600" cy="267398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4F8F" w:rsidRPr="00E74F8F" w:rsidRDefault="00E74F8F" w:rsidP="00E74F8F">
      <w:pPr>
        <w:ind w:firstLine="709"/>
        <w:jc w:val="both"/>
        <w:rPr>
          <w:rFonts w:ascii="Times New Roman" w:hAnsi="Times New Roman" w:cs="Times New Roman"/>
        </w:rPr>
      </w:pPr>
    </w:p>
    <w:tbl>
      <w:tblPr>
        <w:tblW w:w="9660" w:type="dxa"/>
        <w:jc w:val="center"/>
        <w:tblInd w:w="-5" w:type="dxa"/>
        <w:tblLayout w:type="fixed"/>
        <w:tblLook w:val="04A0" w:firstRow="1" w:lastRow="0" w:firstColumn="1" w:lastColumn="0" w:noHBand="0" w:noVBand="1"/>
      </w:tblPr>
      <w:tblGrid>
        <w:gridCol w:w="4255"/>
        <w:gridCol w:w="973"/>
        <w:gridCol w:w="855"/>
        <w:gridCol w:w="867"/>
        <w:gridCol w:w="900"/>
        <w:gridCol w:w="900"/>
        <w:gridCol w:w="910"/>
      </w:tblGrid>
      <w:tr w:rsidR="00E74F8F" w:rsidRPr="00E74F8F" w:rsidTr="00E74F8F">
        <w:trPr>
          <w:trHeight w:val="334"/>
          <w:tblHeader/>
          <w:jc w:val="center"/>
        </w:trPr>
        <w:tc>
          <w:tcPr>
            <w:tcW w:w="4253" w:type="dxa"/>
            <w:vMerge w:val="restart"/>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rPr>
              <w:t>Нозологические формы</w:t>
            </w:r>
          </w:p>
        </w:tc>
        <w:tc>
          <w:tcPr>
            <w:tcW w:w="1828" w:type="dxa"/>
            <w:gridSpan w:val="2"/>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color w:val="000000"/>
              </w:rPr>
              <w:t>201</w:t>
            </w:r>
            <w:r w:rsidRPr="00E74F8F">
              <w:rPr>
                <w:rFonts w:ascii="Times New Roman" w:hAnsi="Times New Roman" w:cs="Times New Roman"/>
                <w:color w:val="000000"/>
                <w:lang w:val="en-US"/>
              </w:rPr>
              <w:t>8</w:t>
            </w:r>
            <w:r w:rsidRPr="00E74F8F">
              <w:rPr>
                <w:rFonts w:ascii="Times New Roman" w:hAnsi="Times New Roman" w:cs="Times New Roman"/>
                <w:color w:val="000000"/>
              </w:rPr>
              <w:t xml:space="preserve"> г.</w:t>
            </w:r>
          </w:p>
        </w:tc>
        <w:tc>
          <w:tcPr>
            <w:tcW w:w="1767" w:type="dxa"/>
            <w:gridSpan w:val="2"/>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201</w:t>
            </w:r>
            <w:r w:rsidRPr="00E74F8F">
              <w:rPr>
                <w:rFonts w:ascii="Times New Roman" w:hAnsi="Times New Roman" w:cs="Times New Roman"/>
                <w:color w:val="000000"/>
                <w:lang w:val="en-US"/>
              </w:rPr>
              <w:t>9</w:t>
            </w:r>
            <w:r w:rsidRPr="00E74F8F">
              <w:rPr>
                <w:rFonts w:ascii="Times New Roman" w:hAnsi="Times New Roman" w:cs="Times New Roman"/>
                <w:color w:val="000000"/>
              </w:rPr>
              <w:t xml:space="preserve"> г.</w:t>
            </w:r>
          </w:p>
        </w:tc>
        <w:tc>
          <w:tcPr>
            <w:tcW w:w="1810" w:type="dxa"/>
            <w:gridSpan w:val="2"/>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20</w:t>
            </w:r>
            <w:r w:rsidRPr="00E74F8F">
              <w:rPr>
                <w:rFonts w:ascii="Times New Roman" w:hAnsi="Times New Roman" w:cs="Times New Roman"/>
                <w:color w:val="000000"/>
                <w:lang w:val="en-US"/>
              </w:rPr>
              <w:t>20</w:t>
            </w:r>
            <w:r w:rsidRPr="00E74F8F">
              <w:rPr>
                <w:rFonts w:ascii="Times New Roman" w:hAnsi="Times New Roman" w:cs="Times New Roman"/>
                <w:color w:val="000000"/>
              </w:rPr>
              <w:t xml:space="preserve"> г.</w:t>
            </w:r>
          </w:p>
        </w:tc>
      </w:tr>
      <w:tr w:rsidR="00E74F8F" w:rsidRPr="00E74F8F" w:rsidTr="00E74F8F">
        <w:trPr>
          <w:trHeight w:val="325"/>
          <w:tblHeader/>
          <w:jc w:val="center"/>
        </w:trPr>
        <w:tc>
          <w:tcPr>
            <w:tcW w:w="4253" w:type="dxa"/>
            <w:vMerge/>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p>
        </w:tc>
        <w:tc>
          <w:tcPr>
            <w:tcW w:w="97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proofErr w:type="spellStart"/>
            <w:r w:rsidRPr="00E74F8F">
              <w:rPr>
                <w:rFonts w:ascii="Times New Roman" w:hAnsi="Times New Roman" w:cs="Times New Roman"/>
                <w:color w:val="000000"/>
              </w:rPr>
              <w:t>абс</w:t>
            </w:r>
            <w:proofErr w:type="spellEnd"/>
            <w:r w:rsidRPr="00E74F8F">
              <w:rPr>
                <w:rFonts w:ascii="Times New Roman" w:hAnsi="Times New Roman" w:cs="Times New Roman"/>
                <w:color w:val="000000"/>
              </w:rPr>
              <w:t>. ч.</w:t>
            </w:r>
          </w:p>
        </w:tc>
        <w:tc>
          <w:tcPr>
            <w:tcW w:w="855"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color w:val="000000"/>
              </w:rPr>
              <w:t>показ.</w:t>
            </w:r>
          </w:p>
        </w:tc>
        <w:tc>
          <w:tcPr>
            <w:tcW w:w="86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proofErr w:type="spellStart"/>
            <w:r w:rsidRPr="00E74F8F">
              <w:rPr>
                <w:rFonts w:ascii="Times New Roman" w:hAnsi="Times New Roman" w:cs="Times New Roman"/>
                <w:color w:val="000000"/>
              </w:rPr>
              <w:t>абс</w:t>
            </w:r>
            <w:proofErr w:type="spellEnd"/>
            <w:r w:rsidRPr="00E74F8F">
              <w:rPr>
                <w:rFonts w:ascii="Times New Roman" w:hAnsi="Times New Roman" w:cs="Times New Roman"/>
                <w:color w:val="000000"/>
              </w:rPr>
              <w:t>. ч.</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показ.</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proofErr w:type="spellStart"/>
            <w:r w:rsidRPr="00E74F8F">
              <w:rPr>
                <w:rFonts w:ascii="Times New Roman" w:hAnsi="Times New Roman" w:cs="Times New Roman"/>
                <w:color w:val="000000"/>
              </w:rPr>
              <w:t>абс</w:t>
            </w:r>
            <w:proofErr w:type="spellEnd"/>
            <w:r w:rsidRPr="00E74F8F">
              <w:rPr>
                <w:rFonts w:ascii="Times New Roman" w:hAnsi="Times New Roman" w:cs="Times New Roman"/>
                <w:color w:val="000000"/>
              </w:rPr>
              <w:t>. ч.</w:t>
            </w:r>
          </w:p>
        </w:tc>
        <w:tc>
          <w:tcPr>
            <w:tcW w:w="91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показ.</w:t>
            </w:r>
          </w:p>
        </w:tc>
      </w:tr>
      <w:tr w:rsidR="00E74F8F" w:rsidRPr="00E74F8F" w:rsidTr="00E74F8F">
        <w:trPr>
          <w:trHeight w:val="843"/>
          <w:jc w:val="center"/>
        </w:trPr>
        <w:tc>
          <w:tcPr>
            <w:tcW w:w="4253"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Сальпингит и оофорит (на 1000 женщин старше 18 лет)</w:t>
            </w:r>
          </w:p>
        </w:tc>
        <w:tc>
          <w:tcPr>
            <w:tcW w:w="973"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3987</w:t>
            </w:r>
          </w:p>
        </w:tc>
        <w:tc>
          <w:tcPr>
            <w:tcW w:w="855"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7,7</w:t>
            </w:r>
          </w:p>
        </w:tc>
        <w:tc>
          <w:tcPr>
            <w:tcW w:w="867"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3605</w:t>
            </w:r>
          </w:p>
        </w:tc>
        <w:tc>
          <w:tcPr>
            <w:tcW w:w="900"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7,0</w:t>
            </w:r>
          </w:p>
        </w:tc>
        <w:tc>
          <w:tcPr>
            <w:tcW w:w="900"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2977</w:t>
            </w:r>
          </w:p>
        </w:tc>
        <w:tc>
          <w:tcPr>
            <w:tcW w:w="910"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5,8</w:t>
            </w:r>
          </w:p>
        </w:tc>
      </w:tr>
      <w:tr w:rsidR="00E74F8F" w:rsidRPr="00E74F8F" w:rsidTr="00E74F8F">
        <w:trPr>
          <w:trHeight w:val="528"/>
          <w:jc w:val="center"/>
        </w:trPr>
        <w:tc>
          <w:tcPr>
            <w:tcW w:w="4253"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proofErr w:type="spellStart"/>
            <w:r w:rsidRPr="00E74F8F">
              <w:rPr>
                <w:rFonts w:ascii="Times New Roman" w:hAnsi="Times New Roman" w:cs="Times New Roman"/>
              </w:rPr>
              <w:t>Эндометриоз</w:t>
            </w:r>
            <w:proofErr w:type="spellEnd"/>
            <w:r w:rsidRPr="00E74F8F">
              <w:rPr>
                <w:rFonts w:ascii="Times New Roman" w:hAnsi="Times New Roman" w:cs="Times New Roman"/>
              </w:rPr>
              <w:t xml:space="preserve"> (на 1000 женщин старше 18 лет)</w:t>
            </w:r>
          </w:p>
        </w:tc>
        <w:tc>
          <w:tcPr>
            <w:tcW w:w="97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3338</w:t>
            </w:r>
          </w:p>
        </w:tc>
        <w:tc>
          <w:tcPr>
            <w:tcW w:w="855"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6,4</w:t>
            </w:r>
          </w:p>
        </w:tc>
        <w:tc>
          <w:tcPr>
            <w:tcW w:w="86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3122</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6,1</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2808</w:t>
            </w:r>
          </w:p>
        </w:tc>
        <w:tc>
          <w:tcPr>
            <w:tcW w:w="91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5,5</w:t>
            </w:r>
          </w:p>
        </w:tc>
      </w:tr>
      <w:tr w:rsidR="00E74F8F" w:rsidRPr="00E74F8F" w:rsidTr="00E74F8F">
        <w:trPr>
          <w:trHeight w:val="842"/>
          <w:jc w:val="center"/>
        </w:trPr>
        <w:tc>
          <w:tcPr>
            <w:tcW w:w="4253"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 xml:space="preserve">Эрозия и </w:t>
            </w:r>
            <w:proofErr w:type="spellStart"/>
            <w:r w:rsidRPr="00E74F8F">
              <w:rPr>
                <w:rFonts w:ascii="Times New Roman" w:hAnsi="Times New Roman" w:cs="Times New Roman"/>
              </w:rPr>
              <w:t>эктропион</w:t>
            </w:r>
            <w:proofErr w:type="spellEnd"/>
            <w:r w:rsidRPr="00E74F8F">
              <w:rPr>
                <w:rFonts w:ascii="Times New Roman" w:hAnsi="Times New Roman" w:cs="Times New Roman"/>
              </w:rPr>
              <w:t xml:space="preserve"> шейки матки (на 1000 женщин старше 18 лет)</w:t>
            </w:r>
          </w:p>
        </w:tc>
        <w:tc>
          <w:tcPr>
            <w:tcW w:w="97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3080</w:t>
            </w:r>
          </w:p>
        </w:tc>
        <w:tc>
          <w:tcPr>
            <w:tcW w:w="855"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5,9</w:t>
            </w:r>
          </w:p>
        </w:tc>
        <w:tc>
          <w:tcPr>
            <w:tcW w:w="86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2948</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5,7</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2380</w:t>
            </w:r>
          </w:p>
        </w:tc>
        <w:tc>
          <w:tcPr>
            <w:tcW w:w="91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4,6</w:t>
            </w:r>
          </w:p>
        </w:tc>
      </w:tr>
      <w:tr w:rsidR="00E74F8F" w:rsidRPr="00E74F8F" w:rsidTr="00E74F8F">
        <w:trPr>
          <w:trHeight w:val="619"/>
          <w:jc w:val="center"/>
        </w:trPr>
        <w:tc>
          <w:tcPr>
            <w:tcW w:w="4253"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Расстройства менструации (на 1000 женщин 15-49 лет)</w:t>
            </w:r>
          </w:p>
        </w:tc>
        <w:tc>
          <w:tcPr>
            <w:tcW w:w="97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4321</w:t>
            </w:r>
          </w:p>
        </w:tc>
        <w:tc>
          <w:tcPr>
            <w:tcW w:w="855"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16,6</w:t>
            </w:r>
          </w:p>
        </w:tc>
        <w:tc>
          <w:tcPr>
            <w:tcW w:w="86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4792</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18,7</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4643</w:t>
            </w:r>
          </w:p>
        </w:tc>
        <w:tc>
          <w:tcPr>
            <w:tcW w:w="91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18,3</w:t>
            </w:r>
          </w:p>
        </w:tc>
      </w:tr>
      <w:tr w:rsidR="00E74F8F" w:rsidRPr="00E74F8F" w:rsidTr="00E74F8F">
        <w:trPr>
          <w:trHeight w:val="531"/>
          <w:jc w:val="center"/>
        </w:trPr>
        <w:tc>
          <w:tcPr>
            <w:tcW w:w="4253"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Женское бесплодие (на 1000 женщин 15-49 лет)</w:t>
            </w:r>
          </w:p>
        </w:tc>
        <w:tc>
          <w:tcPr>
            <w:tcW w:w="97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1258</w:t>
            </w:r>
          </w:p>
        </w:tc>
        <w:tc>
          <w:tcPr>
            <w:tcW w:w="855"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4,8</w:t>
            </w:r>
          </w:p>
        </w:tc>
        <w:tc>
          <w:tcPr>
            <w:tcW w:w="86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1183</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4,6</w:t>
            </w:r>
          </w:p>
        </w:tc>
        <w:tc>
          <w:tcPr>
            <w:tcW w:w="90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899</w:t>
            </w:r>
          </w:p>
        </w:tc>
        <w:tc>
          <w:tcPr>
            <w:tcW w:w="910"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3,5</w:t>
            </w:r>
          </w:p>
        </w:tc>
      </w:tr>
    </w:tbl>
    <w:p w:rsidR="00E74F8F" w:rsidRPr="00E74F8F" w:rsidRDefault="00E74F8F" w:rsidP="00E74F8F">
      <w:pPr>
        <w:ind w:firstLine="708"/>
        <w:jc w:val="both"/>
        <w:rPr>
          <w:rFonts w:ascii="Times New Roman" w:hAnsi="Times New Roman" w:cs="Times New Roman"/>
          <w:lang w:eastAsia="zh-CN"/>
        </w:rPr>
      </w:pPr>
    </w:p>
    <w:p w:rsidR="00E74F8F" w:rsidRPr="00E74F8F" w:rsidRDefault="00E74F8F" w:rsidP="00E74F8F">
      <w:pPr>
        <w:spacing w:after="0" w:line="240" w:lineRule="auto"/>
        <w:ind w:firstLine="709"/>
        <w:jc w:val="both"/>
        <w:rPr>
          <w:rFonts w:ascii="Times New Roman" w:hAnsi="Times New Roman" w:cs="Times New Roman"/>
        </w:rPr>
      </w:pPr>
      <w:r w:rsidRPr="00E74F8F">
        <w:rPr>
          <w:rFonts w:ascii="Times New Roman" w:hAnsi="Times New Roman" w:cs="Times New Roman"/>
        </w:rPr>
        <w:t xml:space="preserve">В регионе активно реализуется программа по обеспечению доступности и повышению качества медицинской помощи по восстановлению репродуктивного здоровья, в том числе с использованием вспомогательных репродуктивных технологий. </w:t>
      </w:r>
    </w:p>
    <w:p w:rsidR="00E74F8F" w:rsidRPr="00E74F8F" w:rsidRDefault="00E74F8F" w:rsidP="00E74F8F">
      <w:pPr>
        <w:spacing w:after="0" w:line="240" w:lineRule="auto"/>
        <w:ind w:firstLine="709"/>
        <w:jc w:val="both"/>
        <w:rPr>
          <w:rFonts w:ascii="Times New Roman" w:hAnsi="Times New Roman" w:cs="Times New Roman"/>
          <w:b/>
        </w:rPr>
      </w:pPr>
      <w:proofErr w:type="gramStart"/>
      <w:r w:rsidRPr="00E74F8F">
        <w:rPr>
          <w:rFonts w:ascii="Times New Roman" w:hAnsi="Times New Roman" w:cs="Times New Roman"/>
        </w:rPr>
        <w:t>Не смотря на</w:t>
      </w:r>
      <w:proofErr w:type="gramEnd"/>
      <w:r w:rsidRPr="00E74F8F">
        <w:rPr>
          <w:rFonts w:ascii="Times New Roman" w:hAnsi="Times New Roman" w:cs="Times New Roman"/>
        </w:rPr>
        <w:t xml:space="preserve"> неблагополучную эпидемиологическую обстановку, обусловленную эпидемией новой </w:t>
      </w:r>
      <w:proofErr w:type="spellStart"/>
      <w:r w:rsidRPr="00E74F8F">
        <w:rPr>
          <w:rFonts w:ascii="Times New Roman" w:hAnsi="Times New Roman" w:cs="Times New Roman"/>
        </w:rPr>
        <w:t>коронавирусной</w:t>
      </w:r>
      <w:proofErr w:type="spellEnd"/>
      <w:r w:rsidRPr="00E74F8F">
        <w:rPr>
          <w:rFonts w:ascii="Times New Roman" w:hAnsi="Times New Roman" w:cs="Times New Roman"/>
        </w:rPr>
        <w:t xml:space="preserve"> инфекции, в 2020 году  466 супружеским парам (2019 год - 572), страдающим бесплодием, выдано направление на процедуру экстракорпорального оплодотворения. По результатам процедуры  в  2020 году принято 155 родов, в результате которых родилось175 детей.</w:t>
      </w:r>
    </w:p>
    <w:p w:rsidR="00E74F8F" w:rsidRPr="00E74F8F" w:rsidRDefault="00E74F8F" w:rsidP="00E74F8F">
      <w:pPr>
        <w:tabs>
          <w:tab w:val="left" w:pos="2340"/>
          <w:tab w:val="left" w:pos="2700"/>
          <w:tab w:val="left" w:pos="2880"/>
        </w:tabs>
        <w:jc w:val="center"/>
        <w:rPr>
          <w:rFonts w:ascii="Times New Roman" w:hAnsi="Times New Roman" w:cs="Times New Roman"/>
          <w:b/>
        </w:rPr>
      </w:pPr>
      <w:r w:rsidRPr="00E74F8F">
        <w:rPr>
          <w:rFonts w:ascii="Times New Roman" w:hAnsi="Times New Roman" w:cs="Times New Roman"/>
          <w:b/>
        </w:rPr>
        <w:lastRenderedPageBreak/>
        <w:t>Аборты по Липецкой области 2018-2020 гг.</w:t>
      </w:r>
    </w:p>
    <w:p w:rsidR="00E74F8F" w:rsidRPr="00E74F8F" w:rsidRDefault="00E74F8F" w:rsidP="00E74F8F">
      <w:pPr>
        <w:tabs>
          <w:tab w:val="left" w:pos="2340"/>
          <w:tab w:val="left" w:pos="2700"/>
          <w:tab w:val="left" w:pos="2880"/>
        </w:tabs>
        <w:jc w:val="center"/>
        <w:rPr>
          <w:rFonts w:ascii="Times New Roman" w:hAnsi="Times New Roman" w:cs="Times New Roman"/>
          <w:b/>
        </w:rPr>
      </w:pPr>
    </w:p>
    <w:p w:rsidR="00E74F8F" w:rsidRPr="00E74F8F" w:rsidRDefault="00E74F8F" w:rsidP="00E74F8F">
      <w:pPr>
        <w:tabs>
          <w:tab w:val="left" w:pos="2340"/>
          <w:tab w:val="left" w:pos="2700"/>
          <w:tab w:val="left" w:pos="2880"/>
        </w:tabs>
        <w:jc w:val="center"/>
        <w:rPr>
          <w:rFonts w:ascii="Times New Roman" w:hAnsi="Times New Roman" w:cs="Times New Roman"/>
          <w:b/>
          <w:noProof/>
        </w:rPr>
      </w:pPr>
      <w:r w:rsidRPr="00E74F8F">
        <w:rPr>
          <w:rFonts w:ascii="Times New Roman" w:eastAsia="Times New Roman" w:hAnsi="Times New Roman" w:cs="Times New Roman"/>
          <w:noProof/>
          <w:sz w:val="24"/>
          <w:szCs w:val="24"/>
        </w:rPr>
        <w:drawing>
          <wp:inline distT="0" distB="0" distL="0" distR="0" wp14:anchorId="046963F0" wp14:editId="5A2BA5C8">
            <wp:extent cx="5953125" cy="161925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74F8F" w:rsidRPr="00E74F8F" w:rsidRDefault="00E74F8F" w:rsidP="00E74F8F">
      <w:pPr>
        <w:tabs>
          <w:tab w:val="left" w:pos="2340"/>
          <w:tab w:val="left" w:pos="2700"/>
          <w:tab w:val="left" w:pos="2880"/>
        </w:tabs>
        <w:jc w:val="center"/>
        <w:rPr>
          <w:rFonts w:ascii="Times New Roman" w:hAnsi="Times New Roman" w:cs="Times New Roman"/>
          <w:b/>
          <w:noProof/>
        </w:rPr>
      </w:pPr>
      <w:r w:rsidRPr="00E74F8F">
        <w:rPr>
          <w:rFonts w:ascii="Times New Roman" w:eastAsia="Times New Roman" w:hAnsi="Times New Roman" w:cs="Times New Roman"/>
          <w:noProof/>
          <w:sz w:val="24"/>
          <w:szCs w:val="24"/>
        </w:rPr>
        <w:drawing>
          <wp:inline distT="0" distB="0" distL="0" distR="0" wp14:anchorId="5783E151" wp14:editId="7967BD55">
            <wp:extent cx="5953125" cy="161925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4F8F" w:rsidRPr="00E74F8F" w:rsidRDefault="00E74F8F" w:rsidP="00E74F8F">
      <w:pPr>
        <w:tabs>
          <w:tab w:val="left" w:pos="2340"/>
          <w:tab w:val="left" w:pos="2700"/>
          <w:tab w:val="left" w:pos="2880"/>
        </w:tabs>
        <w:jc w:val="center"/>
        <w:rPr>
          <w:rFonts w:ascii="Times New Roman" w:hAnsi="Times New Roman" w:cs="Times New Roman"/>
          <w:b/>
          <w:lang w:eastAsia="zh-CN"/>
        </w:rPr>
      </w:pPr>
      <w:r w:rsidRPr="00E74F8F">
        <w:rPr>
          <w:rFonts w:ascii="Times New Roman" w:eastAsia="Times New Roman" w:hAnsi="Times New Roman" w:cs="Times New Roman"/>
          <w:noProof/>
          <w:sz w:val="24"/>
          <w:szCs w:val="24"/>
        </w:rPr>
        <w:drawing>
          <wp:inline distT="0" distB="0" distL="0" distR="0" wp14:anchorId="1BD76F13" wp14:editId="32CCF5DC">
            <wp:extent cx="5953125" cy="161925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4F8F" w:rsidRPr="00E74F8F" w:rsidRDefault="00E74F8F" w:rsidP="00E74F8F">
      <w:pPr>
        <w:tabs>
          <w:tab w:val="left" w:pos="2340"/>
          <w:tab w:val="left" w:pos="2700"/>
          <w:tab w:val="left" w:pos="2880"/>
        </w:tabs>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3"/>
        <w:gridCol w:w="1063"/>
        <w:gridCol w:w="1063"/>
        <w:gridCol w:w="1064"/>
        <w:gridCol w:w="1064"/>
        <w:gridCol w:w="1064"/>
        <w:gridCol w:w="1064"/>
      </w:tblGrid>
      <w:tr w:rsidR="00E74F8F" w:rsidRPr="00E74F8F" w:rsidTr="00E74F8F">
        <w:tc>
          <w:tcPr>
            <w:tcW w:w="3189" w:type="dxa"/>
            <w:gridSpan w:val="3"/>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Всего абортов</w:t>
            </w:r>
          </w:p>
        </w:tc>
        <w:tc>
          <w:tcPr>
            <w:tcW w:w="3190" w:type="dxa"/>
            <w:gridSpan w:val="3"/>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Число абортов на 1000 женщин фертильного возраста</w:t>
            </w:r>
          </w:p>
        </w:tc>
        <w:tc>
          <w:tcPr>
            <w:tcW w:w="3192" w:type="dxa"/>
            <w:gridSpan w:val="3"/>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Количество абортов на 100 родов</w:t>
            </w:r>
          </w:p>
        </w:tc>
      </w:tr>
      <w:tr w:rsidR="00E74F8F" w:rsidRPr="00E74F8F" w:rsidTr="00E74F8F">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1064"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c>
          <w:tcPr>
            <w:tcW w:w="1064"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1064"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1064"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r>
      <w:tr w:rsidR="00E74F8F" w:rsidRPr="00E74F8F" w:rsidTr="00E74F8F">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4400</w:t>
            </w:r>
          </w:p>
        </w:tc>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3768</w:t>
            </w:r>
          </w:p>
        </w:tc>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3026</w:t>
            </w:r>
          </w:p>
        </w:tc>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16,9</w:t>
            </w:r>
          </w:p>
        </w:tc>
        <w:tc>
          <w:tcPr>
            <w:tcW w:w="1063"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14,7</w:t>
            </w:r>
          </w:p>
        </w:tc>
        <w:tc>
          <w:tcPr>
            <w:tcW w:w="1064"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11,9</w:t>
            </w:r>
          </w:p>
        </w:tc>
        <w:tc>
          <w:tcPr>
            <w:tcW w:w="1064"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40,1</w:t>
            </w:r>
          </w:p>
        </w:tc>
        <w:tc>
          <w:tcPr>
            <w:tcW w:w="1064"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38,5</w:t>
            </w:r>
          </w:p>
        </w:tc>
        <w:tc>
          <w:tcPr>
            <w:tcW w:w="1064" w:type="dxa"/>
            <w:tcBorders>
              <w:top w:val="single" w:sz="4" w:space="0" w:color="auto"/>
              <w:left w:val="single" w:sz="4" w:space="0" w:color="auto"/>
              <w:bottom w:val="single" w:sz="4" w:space="0" w:color="auto"/>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32,1</w:t>
            </w:r>
          </w:p>
        </w:tc>
      </w:tr>
    </w:tbl>
    <w:p w:rsidR="00E74F8F" w:rsidRPr="00E74F8F" w:rsidRDefault="00E74F8F" w:rsidP="00E74F8F">
      <w:pPr>
        <w:ind w:firstLine="708"/>
        <w:jc w:val="both"/>
        <w:rPr>
          <w:rFonts w:ascii="Times New Roman" w:hAnsi="Times New Roman" w:cs="Times New Roman"/>
          <w:lang w:eastAsia="zh-CN"/>
        </w:rPr>
      </w:pPr>
    </w:p>
    <w:p w:rsidR="00E74F8F" w:rsidRPr="00E74F8F" w:rsidRDefault="00E74F8F" w:rsidP="00E74F8F">
      <w:pPr>
        <w:spacing w:line="240" w:lineRule="auto"/>
        <w:ind w:firstLine="426"/>
        <w:contextualSpacing/>
        <w:jc w:val="both"/>
        <w:rPr>
          <w:rFonts w:ascii="Times New Roman" w:hAnsi="Times New Roman" w:cs="Times New Roman"/>
          <w:b/>
          <w:bCs/>
        </w:rPr>
      </w:pPr>
      <w:r w:rsidRPr="00E74F8F">
        <w:rPr>
          <w:rFonts w:ascii="Times New Roman" w:hAnsi="Times New Roman" w:cs="Times New Roman"/>
        </w:rPr>
        <w:t xml:space="preserve">В области сохраняется стойкая тенденция к снижению абортов: по итогам 2020 года показатель абортов в области снизился на 19 % и составил 11,9 против 16,9 на 1000 женщин фертильного возраста в 2018 году. </w:t>
      </w:r>
      <w:r w:rsidRPr="00E74F8F">
        <w:rPr>
          <w:rFonts w:ascii="Times New Roman" w:hAnsi="Times New Roman" w:cs="Times New Roman"/>
          <w:b/>
          <w:bCs/>
        </w:rPr>
        <w:t xml:space="preserve"> </w:t>
      </w:r>
      <w:r w:rsidRPr="00E74F8F">
        <w:rPr>
          <w:rFonts w:ascii="Times New Roman" w:hAnsi="Times New Roman" w:cs="Times New Roman"/>
        </w:rPr>
        <w:t xml:space="preserve">Доля абортов у девочек 15-17 лет в 2020 году составила 0,5%. </w:t>
      </w:r>
    </w:p>
    <w:p w:rsidR="00E74F8F" w:rsidRPr="00E74F8F" w:rsidRDefault="00E74F8F" w:rsidP="00E74F8F">
      <w:pPr>
        <w:spacing w:line="240" w:lineRule="auto"/>
        <w:ind w:firstLine="426"/>
        <w:contextualSpacing/>
        <w:jc w:val="both"/>
        <w:rPr>
          <w:rFonts w:ascii="Times New Roman" w:hAnsi="Times New Roman" w:cs="Times New Roman"/>
        </w:rPr>
      </w:pPr>
      <w:r w:rsidRPr="00E74F8F">
        <w:rPr>
          <w:rFonts w:ascii="Times New Roman" w:hAnsi="Times New Roman" w:cs="Times New Roman"/>
        </w:rPr>
        <w:t>Удельный вес малотравматичных методов прерывания нежелательной беременности в области ежегодно остается высоким, так прерывание беременности медикаментозным методом в 2020 году составило 50,7% (в 2019 году – 47,7%).</w:t>
      </w:r>
    </w:p>
    <w:p w:rsidR="00E74F8F" w:rsidRPr="00E74F8F" w:rsidRDefault="00E74F8F" w:rsidP="00E74F8F">
      <w:pPr>
        <w:spacing w:line="240" w:lineRule="auto"/>
        <w:ind w:firstLine="426"/>
        <w:contextualSpacing/>
        <w:jc w:val="both"/>
        <w:rPr>
          <w:rFonts w:ascii="Times New Roman" w:hAnsi="Times New Roman" w:cs="Times New Roman"/>
        </w:rPr>
      </w:pPr>
      <w:proofErr w:type="gramStart"/>
      <w:r w:rsidRPr="00E74F8F">
        <w:rPr>
          <w:rFonts w:ascii="Times New Roman" w:hAnsi="Times New Roman" w:cs="Times New Roman"/>
        </w:rPr>
        <w:t xml:space="preserve">По результатам </w:t>
      </w:r>
      <w:proofErr w:type="spellStart"/>
      <w:r w:rsidRPr="00E74F8F">
        <w:rPr>
          <w:rFonts w:ascii="Times New Roman" w:hAnsi="Times New Roman" w:cs="Times New Roman"/>
        </w:rPr>
        <w:t>противоабортной</w:t>
      </w:r>
      <w:proofErr w:type="spellEnd"/>
      <w:r w:rsidRPr="00E74F8F">
        <w:rPr>
          <w:rFonts w:ascii="Times New Roman" w:hAnsi="Times New Roman" w:cs="Times New Roman"/>
        </w:rPr>
        <w:t xml:space="preserve"> работы проводимой в женских консультациях Липецкой области, отказались от намерения прервать беременность и встали на диспансерный учет по </w:t>
      </w:r>
      <w:r w:rsidRPr="00E74F8F">
        <w:rPr>
          <w:rFonts w:ascii="Times New Roman" w:hAnsi="Times New Roman" w:cs="Times New Roman"/>
        </w:rPr>
        <w:lastRenderedPageBreak/>
        <w:t>беременности 437 женщин, что составило 28,1 % от обратившихся за направлением на прерывание беременности.</w:t>
      </w:r>
      <w:proofErr w:type="gramEnd"/>
    </w:p>
    <w:p w:rsidR="00E74F8F" w:rsidRPr="00E74F8F" w:rsidRDefault="00E74F8F" w:rsidP="00E74F8F">
      <w:pPr>
        <w:spacing w:line="240" w:lineRule="auto"/>
        <w:ind w:firstLine="426"/>
        <w:contextualSpacing/>
        <w:jc w:val="both"/>
        <w:rPr>
          <w:rFonts w:ascii="Times New Roman" w:hAnsi="Times New Roman" w:cs="Times New Roman"/>
        </w:rPr>
      </w:pPr>
      <w:r w:rsidRPr="00E74F8F">
        <w:rPr>
          <w:rFonts w:ascii="Times New Roman" w:hAnsi="Times New Roman" w:cs="Times New Roman"/>
        </w:rPr>
        <w:t>Контроль работы по снижению абортов в области на протяжении ряда лет ведется на основе ежемесячного мониторинга числа  абортов  и  охвата  контрацепцией  по  отдельным  территориям при межведомственном взаимодействии  с  органами  народного  образования,  социальной  защиты  населения,  молодежными  организациями,  служителями  церкви,  администрацией  области. Для оказания медико-психологической и социально-правовой помощи женщинам привлекаются социальные работники, психологи, юристы, должности которых уже введены в штаты многих женских консультаций области.</w:t>
      </w:r>
    </w:p>
    <w:p w:rsidR="00E74F8F" w:rsidRPr="00E74F8F" w:rsidRDefault="00E74F8F" w:rsidP="00E74F8F">
      <w:pPr>
        <w:spacing w:line="240" w:lineRule="auto"/>
        <w:ind w:firstLine="709"/>
        <w:contextualSpacing/>
        <w:jc w:val="both"/>
        <w:rPr>
          <w:rFonts w:ascii="Times New Roman" w:hAnsi="Times New Roman" w:cs="Times New Roman"/>
        </w:rPr>
      </w:pPr>
      <w:r w:rsidRPr="00E74F8F">
        <w:rPr>
          <w:rFonts w:ascii="Times New Roman" w:hAnsi="Times New Roman" w:cs="Times New Roman"/>
        </w:rPr>
        <w:t xml:space="preserve">Продолжает активно работу кабинет </w:t>
      </w:r>
      <w:proofErr w:type="gramStart"/>
      <w:r w:rsidRPr="00E74F8F">
        <w:rPr>
          <w:rFonts w:ascii="Times New Roman" w:hAnsi="Times New Roman" w:cs="Times New Roman"/>
        </w:rPr>
        <w:t>медико-социальной</w:t>
      </w:r>
      <w:proofErr w:type="gramEnd"/>
      <w:r w:rsidRPr="00E74F8F">
        <w:rPr>
          <w:rFonts w:ascii="Times New Roman" w:hAnsi="Times New Roman" w:cs="Times New Roman"/>
        </w:rPr>
        <w:t xml:space="preserve"> помощи ГУЗ «Липецкий областной перинатальный центр». Центральное место в работе занимает оказание всесторонней помощи женщине во время беременности. Задача специалистов - подготовить женщину к родам и к успешному грудному вскармливанию. Социально-психологическая поддержка проводится и в условиях стационара. </w:t>
      </w:r>
    </w:p>
    <w:p w:rsidR="00E74F8F" w:rsidRPr="00E74F8F" w:rsidRDefault="00E74F8F" w:rsidP="00E74F8F">
      <w:pPr>
        <w:spacing w:line="240" w:lineRule="auto"/>
        <w:ind w:firstLine="426"/>
        <w:contextualSpacing/>
        <w:jc w:val="both"/>
        <w:rPr>
          <w:rFonts w:ascii="Times New Roman" w:hAnsi="Times New Roman" w:cs="Times New Roman"/>
        </w:rPr>
      </w:pPr>
      <w:r w:rsidRPr="00E74F8F">
        <w:rPr>
          <w:rFonts w:ascii="Times New Roman" w:hAnsi="Times New Roman" w:cs="Times New Roman"/>
        </w:rPr>
        <w:t xml:space="preserve">В родильных домах оформлены стенды «Социальная поддержка семьи», с информацией, касающейся социальной помощи населению на территории Липецкой области. Ежедневно с беременными женщинами проводится разъяснительная работа по социальным вопросам, оказывается практическая помощь обратившимся. </w:t>
      </w:r>
    </w:p>
    <w:p w:rsidR="00E74F8F" w:rsidRPr="00E74F8F" w:rsidRDefault="00E74F8F" w:rsidP="00E74F8F">
      <w:pPr>
        <w:spacing w:line="240" w:lineRule="auto"/>
        <w:ind w:firstLine="426"/>
        <w:contextualSpacing/>
        <w:jc w:val="both"/>
        <w:rPr>
          <w:rFonts w:ascii="Times New Roman" w:hAnsi="Times New Roman" w:cs="Times New Roman"/>
        </w:rPr>
      </w:pPr>
      <w:r w:rsidRPr="00E74F8F">
        <w:rPr>
          <w:rFonts w:ascii="Times New Roman" w:hAnsi="Times New Roman" w:cs="Times New Roman"/>
        </w:rPr>
        <w:t xml:space="preserve">Продолжается работа  со специалистами социальной службы по  оказанию помощи женщинам, оказавшимся в трудной жизненной ситуации, на базе </w:t>
      </w:r>
      <w:proofErr w:type="gramStart"/>
      <w:r w:rsidRPr="00E74F8F">
        <w:rPr>
          <w:rFonts w:ascii="Times New Roman" w:hAnsi="Times New Roman" w:cs="Times New Roman"/>
        </w:rPr>
        <w:t>имеющегося</w:t>
      </w:r>
      <w:proofErr w:type="gramEnd"/>
      <w:r w:rsidRPr="00E74F8F">
        <w:rPr>
          <w:rFonts w:ascii="Times New Roman" w:hAnsi="Times New Roman" w:cs="Times New Roman"/>
        </w:rPr>
        <w:t xml:space="preserve"> ОГУ «Кризисный центр помощи женщинам и детям».</w:t>
      </w:r>
    </w:p>
    <w:p w:rsidR="00E74F8F" w:rsidRPr="00E74F8F" w:rsidRDefault="00E74F8F" w:rsidP="00E74F8F">
      <w:pPr>
        <w:spacing w:line="240" w:lineRule="auto"/>
        <w:ind w:firstLine="426"/>
        <w:contextualSpacing/>
        <w:jc w:val="both"/>
        <w:rPr>
          <w:rFonts w:ascii="Times New Roman" w:hAnsi="Times New Roman" w:cs="Times New Roman"/>
          <w:color w:val="800080"/>
        </w:rPr>
      </w:pPr>
      <w:r w:rsidRPr="00E74F8F">
        <w:rPr>
          <w:rFonts w:ascii="Times New Roman" w:hAnsi="Times New Roman" w:cs="Times New Roman"/>
        </w:rPr>
        <w:t xml:space="preserve">Хорошей традицией сохранения семейных ценностей, укрепления семьи на территории области стало участие в ежегодно проводимой акции «Подари мне жизнь!», которая с 2009 года проходит по совместной инициативе Министерства здравоохранения и социального развития Российской Федерации с Фондом социально-культурных инициатив. </w:t>
      </w:r>
    </w:p>
    <w:p w:rsidR="00E74F8F" w:rsidRPr="00E74F8F" w:rsidRDefault="00E74F8F" w:rsidP="00E74F8F">
      <w:pPr>
        <w:spacing w:line="240" w:lineRule="auto"/>
        <w:ind w:firstLine="426"/>
        <w:contextualSpacing/>
        <w:jc w:val="both"/>
        <w:rPr>
          <w:rFonts w:ascii="Times New Roman" w:hAnsi="Times New Roman" w:cs="Times New Roman"/>
        </w:rPr>
      </w:pPr>
      <w:r w:rsidRPr="00E74F8F">
        <w:rPr>
          <w:rFonts w:ascii="Times New Roman" w:hAnsi="Times New Roman" w:cs="Times New Roman"/>
        </w:rPr>
        <w:t xml:space="preserve">Число детей, родившихся  от ВИЧ - инфицированных матерей в 2020 году  выросло  на 14,3% и составило 40 детей (против 35 детей в 2019 году). </w:t>
      </w:r>
    </w:p>
    <w:p w:rsidR="00E74F8F" w:rsidRPr="00E74F8F" w:rsidRDefault="00E74F8F" w:rsidP="00E74F8F">
      <w:pPr>
        <w:spacing w:line="240" w:lineRule="auto"/>
        <w:ind w:firstLine="426"/>
        <w:contextualSpacing/>
        <w:jc w:val="both"/>
        <w:rPr>
          <w:rFonts w:ascii="Times New Roman" w:hAnsi="Times New Roman" w:cs="Times New Roman"/>
        </w:rPr>
      </w:pPr>
      <w:r w:rsidRPr="00E74F8F">
        <w:rPr>
          <w:rFonts w:ascii="Times New Roman" w:hAnsi="Times New Roman" w:cs="Times New Roman"/>
        </w:rPr>
        <w:t xml:space="preserve">С целью профилактики передачи ВИЧ инфекции новорожденному в области обеспечивается 100% охват трехэтапной перинатальной профилактикой ВИЧ инфекции среди пар «мать - дитя».   Обследование ВИЧ положительных матерей и их детей в области проводится на бесплатной основе, за счет средств федерального и областного бюджета. </w:t>
      </w:r>
    </w:p>
    <w:p w:rsidR="00E74F8F" w:rsidRPr="00E74F8F" w:rsidRDefault="00E74F8F" w:rsidP="00E74F8F">
      <w:pPr>
        <w:spacing w:line="240" w:lineRule="auto"/>
        <w:ind w:firstLine="426"/>
        <w:contextualSpacing/>
        <w:jc w:val="both"/>
        <w:rPr>
          <w:rFonts w:ascii="Times New Roman" w:hAnsi="Times New Roman" w:cs="Times New Roman"/>
        </w:rPr>
      </w:pPr>
      <w:r w:rsidRPr="00E74F8F">
        <w:rPr>
          <w:rFonts w:ascii="Times New Roman" w:hAnsi="Times New Roman" w:cs="Times New Roman"/>
        </w:rPr>
        <w:t>Важной мерой финансовой поддержки государственных и муниципальных учреждений здравоохранения, оказывающих помощь женщинам в период беременности, родов и в послеродовой период, является реализация программы «Родовой сертификат». Цель внедрения родового сертификата – решение проблемы сохранения и укрепления здоровья матери и ребенка, повышение качества и доступности оказания медицинской помощи женщинам в период беременности и родов, создание условий для рождения здоровых детей.</w:t>
      </w:r>
    </w:p>
    <w:p w:rsidR="004B6E85" w:rsidRDefault="00E74F8F" w:rsidP="004B6E85">
      <w:pPr>
        <w:spacing w:line="240" w:lineRule="auto"/>
        <w:ind w:firstLine="426"/>
        <w:contextualSpacing/>
        <w:jc w:val="both"/>
        <w:rPr>
          <w:rFonts w:ascii="Times New Roman" w:hAnsi="Times New Roman" w:cs="Times New Roman"/>
        </w:rPr>
      </w:pPr>
      <w:proofErr w:type="gramStart"/>
      <w:r w:rsidRPr="00E74F8F">
        <w:rPr>
          <w:rFonts w:ascii="Times New Roman" w:hAnsi="Times New Roman" w:cs="Times New Roman"/>
        </w:rPr>
        <w:t xml:space="preserve">В 2020 году в службу материнства и детства из средств федерального бюджета поступило 71 985 тыс. руб., в том числе за услуги по оказанию медицинской помощи на амбулаторно-поликлиническом этапе – 36,1 %, в период родов и в послеродовой период – 63,9 %. При этом 35,4 % полученных средств израсходовано на оплату труда медицинских работников, 30,5 % на приобретение медикаментов, в </w:t>
      </w:r>
      <w:proofErr w:type="spellStart"/>
      <w:r w:rsidRPr="00E74F8F">
        <w:rPr>
          <w:rFonts w:ascii="Times New Roman" w:hAnsi="Times New Roman" w:cs="Times New Roman"/>
        </w:rPr>
        <w:t>т.ч</w:t>
      </w:r>
      <w:proofErr w:type="spellEnd"/>
      <w:r w:rsidRPr="00E74F8F">
        <w:rPr>
          <w:rFonts w:ascii="Times New Roman" w:hAnsi="Times New Roman" w:cs="Times New Roman"/>
        </w:rPr>
        <w:t>. для бесплатного обеспечения диспансерных</w:t>
      </w:r>
      <w:proofErr w:type="gramEnd"/>
      <w:r w:rsidRPr="00E74F8F">
        <w:rPr>
          <w:rFonts w:ascii="Times New Roman" w:hAnsi="Times New Roman" w:cs="Times New Roman"/>
        </w:rPr>
        <w:t xml:space="preserve"> беременных лекарственными средствами в женской консультации и 17, % на закупку медицинского оборудования и изделий медицинского назначения для учреждений родовспоможения.  </w:t>
      </w:r>
    </w:p>
    <w:p w:rsidR="00E74F8F" w:rsidRPr="00E74F8F" w:rsidRDefault="00E74F8F" w:rsidP="004B6E85">
      <w:pPr>
        <w:spacing w:line="240" w:lineRule="auto"/>
        <w:ind w:firstLine="426"/>
        <w:contextualSpacing/>
        <w:jc w:val="both"/>
        <w:rPr>
          <w:rFonts w:ascii="Times New Roman" w:hAnsi="Times New Roman" w:cs="Times New Roman"/>
        </w:rPr>
      </w:pPr>
      <w:r w:rsidRPr="00E74F8F">
        <w:rPr>
          <w:rFonts w:ascii="Times New Roman" w:hAnsi="Times New Roman" w:cs="Times New Roman"/>
        </w:rPr>
        <w:t xml:space="preserve">В результате реализации средств родовых сертификатов приобретались дорогостоящие высокоэффективные медицинские препараты для лечения беременных и новорожденных, диагностическое и лечебное оборудование, обеспечивалось повышение заработной платы медицинских работников, что создавало механизм заинтересованности врачей женских консультаций в регулярном и качественном наблюдении беременных. </w:t>
      </w:r>
    </w:p>
    <w:p w:rsidR="00E74F8F" w:rsidRPr="00E74F8F" w:rsidRDefault="00E74F8F" w:rsidP="00E74F8F">
      <w:pPr>
        <w:spacing w:line="240" w:lineRule="auto"/>
        <w:ind w:firstLine="426"/>
        <w:contextualSpacing/>
        <w:jc w:val="both"/>
        <w:rPr>
          <w:rFonts w:ascii="Times New Roman" w:hAnsi="Times New Roman" w:cs="Times New Roman"/>
          <w:lang w:eastAsia="zh-CN"/>
        </w:rPr>
      </w:pPr>
      <w:r w:rsidRPr="00E74F8F">
        <w:rPr>
          <w:rFonts w:ascii="Times New Roman" w:hAnsi="Times New Roman" w:cs="Times New Roman"/>
        </w:rPr>
        <w:t xml:space="preserve">С улучшением материально-технической базы, улучшением качества услуг, предоставляемых учреждениями службы родовспоможения, растет доверие женщин к ним – так, число </w:t>
      </w:r>
      <w:proofErr w:type="gramStart"/>
      <w:r w:rsidRPr="00E74F8F">
        <w:rPr>
          <w:rFonts w:ascii="Times New Roman" w:hAnsi="Times New Roman" w:cs="Times New Roman"/>
        </w:rPr>
        <w:t>женщин, вставших на учет по беременности в ранние сроки сохраняется</w:t>
      </w:r>
      <w:proofErr w:type="gramEnd"/>
      <w:r w:rsidRPr="00E74F8F">
        <w:rPr>
          <w:rFonts w:ascii="Times New Roman" w:hAnsi="Times New Roman" w:cs="Times New Roman"/>
        </w:rPr>
        <w:t xml:space="preserve"> на уровне 89 %.</w:t>
      </w:r>
    </w:p>
    <w:p w:rsidR="00E74F8F" w:rsidRPr="00E74F8F" w:rsidRDefault="00E74F8F" w:rsidP="00E74F8F">
      <w:pPr>
        <w:spacing w:line="240" w:lineRule="auto"/>
        <w:ind w:firstLine="426"/>
        <w:contextualSpacing/>
        <w:jc w:val="both"/>
        <w:rPr>
          <w:rFonts w:ascii="Times New Roman" w:hAnsi="Times New Roman" w:cs="Times New Roman"/>
        </w:rPr>
      </w:pPr>
      <w:r w:rsidRPr="00E74F8F">
        <w:rPr>
          <w:rFonts w:ascii="Times New Roman" w:hAnsi="Times New Roman" w:cs="Times New Roman"/>
        </w:rPr>
        <w:t xml:space="preserve">Раннее взятие на учет по беременности позволяет увеличить процент охвата женщин   по алгоритму проведения </w:t>
      </w:r>
      <w:proofErr w:type="spellStart"/>
      <w:r w:rsidRPr="00E74F8F">
        <w:rPr>
          <w:rFonts w:ascii="Times New Roman" w:hAnsi="Times New Roman" w:cs="Times New Roman"/>
        </w:rPr>
        <w:t>пренатальной</w:t>
      </w:r>
      <w:proofErr w:type="spellEnd"/>
      <w:r w:rsidRPr="00E74F8F">
        <w:rPr>
          <w:rFonts w:ascii="Times New Roman" w:hAnsi="Times New Roman" w:cs="Times New Roman"/>
        </w:rPr>
        <w:t xml:space="preserve"> (дородовой) диагностики нарушений развития ребенка, улучшить качество наблюдения беременной и как результат – снижение заболеваемости беременных.  </w:t>
      </w:r>
    </w:p>
    <w:p w:rsidR="00E74F8F" w:rsidRPr="00E74F8F" w:rsidRDefault="00E74F8F" w:rsidP="00E74F8F">
      <w:pPr>
        <w:spacing w:line="240" w:lineRule="auto"/>
        <w:ind w:firstLine="426"/>
        <w:contextualSpacing/>
        <w:jc w:val="both"/>
        <w:rPr>
          <w:rFonts w:ascii="Times New Roman" w:hAnsi="Times New Roman" w:cs="Times New Roman"/>
          <w:bCs/>
        </w:rPr>
      </w:pPr>
      <w:r w:rsidRPr="00E74F8F">
        <w:rPr>
          <w:rFonts w:ascii="Times New Roman" w:hAnsi="Times New Roman" w:cs="Times New Roman"/>
          <w:bCs/>
        </w:rPr>
        <w:lastRenderedPageBreak/>
        <w:t>По итогам 2020 года отмечается снижение заболеваемости у беременных женщин на 2,2% по сравнению с 2019 годом.</w:t>
      </w:r>
    </w:p>
    <w:p w:rsidR="00E74F8F" w:rsidRPr="00E74F8F" w:rsidRDefault="00E74F8F" w:rsidP="00E74F8F">
      <w:pPr>
        <w:spacing w:line="240" w:lineRule="auto"/>
        <w:contextualSpacing/>
        <w:rPr>
          <w:rFonts w:ascii="Times New Roman" w:hAnsi="Times New Roman" w:cs="Times New Roman"/>
          <w:b/>
          <w:bCs/>
        </w:rPr>
      </w:pPr>
    </w:p>
    <w:p w:rsidR="00E74F8F" w:rsidRPr="00E74F8F" w:rsidRDefault="00E74F8F" w:rsidP="00E74F8F">
      <w:pPr>
        <w:rPr>
          <w:rFonts w:ascii="Times New Roman" w:hAnsi="Times New Roman" w:cs="Times New Roman"/>
          <w:b/>
          <w:bCs/>
        </w:rPr>
      </w:pPr>
    </w:p>
    <w:p w:rsidR="00E74F8F" w:rsidRPr="00E74F8F" w:rsidRDefault="00E74F8F" w:rsidP="00E74F8F">
      <w:pPr>
        <w:jc w:val="center"/>
        <w:rPr>
          <w:rFonts w:ascii="Times New Roman" w:hAnsi="Times New Roman" w:cs="Times New Roman"/>
          <w:b/>
          <w:bCs/>
        </w:rPr>
      </w:pPr>
      <w:r w:rsidRPr="00E74F8F">
        <w:rPr>
          <w:rFonts w:ascii="Times New Roman" w:hAnsi="Times New Roman" w:cs="Times New Roman"/>
          <w:b/>
          <w:bCs/>
        </w:rPr>
        <w:t xml:space="preserve">Заболеваемость беременных </w:t>
      </w:r>
    </w:p>
    <w:p w:rsidR="00E74F8F" w:rsidRPr="00E74F8F" w:rsidRDefault="00E74F8F" w:rsidP="00E74F8F">
      <w:pPr>
        <w:jc w:val="center"/>
        <w:rPr>
          <w:rFonts w:ascii="Times New Roman" w:hAnsi="Times New Roman" w:cs="Times New Roman"/>
          <w:b/>
          <w:bCs/>
        </w:rPr>
      </w:pPr>
      <w:r w:rsidRPr="00E74F8F">
        <w:rPr>
          <w:rFonts w:ascii="Times New Roman" w:hAnsi="Times New Roman" w:cs="Times New Roman"/>
          <w:b/>
          <w:bCs/>
        </w:rPr>
        <w:t xml:space="preserve">(на 1 000 </w:t>
      </w:r>
      <w:proofErr w:type="gramStart"/>
      <w:r w:rsidRPr="00E74F8F">
        <w:rPr>
          <w:rFonts w:ascii="Times New Roman" w:hAnsi="Times New Roman" w:cs="Times New Roman"/>
          <w:b/>
          <w:bCs/>
        </w:rPr>
        <w:t>закончивших</w:t>
      </w:r>
      <w:proofErr w:type="gramEnd"/>
      <w:r w:rsidRPr="00E74F8F">
        <w:rPr>
          <w:rFonts w:ascii="Times New Roman" w:hAnsi="Times New Roman" w:cs="Times New Roman"/>
          <w:b/>
          <w:bCs/>
        </w:rPr>
        <w:t xml:space="preserve"> беременность)</w:t>
      </w:r>
    </w:p>
    <w:p w:rsidR="00E74F8F" w:rsidRPr="00E74F8F" w:rsidRDefault="00E74F8F" w:rsidP="00E74F8F">
      <w:pPr>
        <w:jc w:val="center"/>
        <w:rPr>
          <w:rFonts w:ascii="Times New Roman" w:hAnsi="Times New Roman" w:cs="Times New Roman"/>
          <w:b/>
          <w:bCs/>
        </w:rPr>
      </w:pPr>
      <w:r w:rsidRPr="00E74F8F">
        <w:rPr>
          <w:rFonts w:ascii="Times New Roman" w:eastAsia="Times New Roman" w:hAnsi="Times New Roman" w:cs="Times New Roman"/>
          <w:noProof/>
          <w:sz w:val="24"/>
          <w:szCs w:val="24"/>
        </w:rPr>
        <w:drawing>
          <wp:inline distT="0" distB="0" distL="0" distR="0" wp14:anchorId="7C00B71C" wp14:editId="427DA43C">
            <wp:extent cx="5953125" cy="372427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4F8F" w:rsidRPr="00E74F8F" w:rsidRDefault="00E74F8F" w:rsidP="00E74F8F">
      <w:pPr>
        <w:jc w:val="center"/>
        <w:rPr>
          <w:rFonts w:ascii="Times New Roman" w:hAnsi="Times New Roman" w:cs="Times New Roman"/>
          <w:b/>
          <w:bCs/>
        </w:rPr>
      </w:pPr>
    </w:p>
    <w:tbl>
      <w:tblPr>
        <w:tblW w:w="9469" w:type="dxa"/>
        <w:tblInd w:w="-5" w:type="dxa"/>
        <w:tblLook w:val="04A0" w:firstRow="1" w:lastRow="0" w:firstColumn="1" w:lastColumn="0" w:noHBand="0" w:noVBand="1"/>
      </w:tblPr>
      <w:tblGrid>
        <w:gridCol w:w="3090"/>
        <w:gridCol w:w="992"/>
        <w:gridCol w:w="993"/>
        <w:gridCol w:w="992"/>
        <w:gridCol w:w="992"/>
        <w:gridCol w:w="1134"/>
        <w:gridCol w:w="1276"/>
      </w:tblGrid>
      <w:tr w:rsidR="00E74F8F" w:rsidRPr="00E74F8F" w:rsidTr="00E74F8F">
        <w:trPr>
          <w:cantSplit/>
          <w:trHeight w:val="325"/>
          <w:tblHeader/>
        </w:trPr>
        <w:tc>
          <w:tcPr>
            <w:tcW w:w="3090" w:type="dxa"/>
            <w:vMerge w:val="restart"/>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 xml:space="preserve">Нозологические формы </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sz w:val="24"/>
                <w:szCs w:val="24"/>
                <w:lang w:eastAsia="zh-CN"/>
              </w:rPr>
            </w:pPr>
            <w:r w:rsidRPr="00E74F8F">
              <w:rPr>
                <w:rFonts w:ascii="Times New Roman" w:hAnsi="Times New Roman" w:cs="Times New Roman"/>
              </w:rPr>
              <w:t xml:space="preserve">Заболеваемость на 1000 </w:t>
            </w:r>
            <w:proofErr w:type="gramStart"/>
            <w:r w:rsidRPr="00E74F8F">
              <w:rPr>
                <w:rFonts w:ascii="Times New Roman" w:hAnsi="Times New Roman" w:cs="Times New Roman"/>
              </w:rPr>
              <w:t>закончивших</w:t>
            </w:r>
            <w:proofErr w:type="gramEnd"/>
            <w:r w:rsidRPr="00E74F8F">
              <w:rPr>
                <w:rFonts w:ascii="Times New Roman" w:hAnsi="Times New Roman" w:cs="Times New Roman"/>
              </w:rPr>
              <w:t xml:space="preserve"> беременность</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sz w:val="24"/>
                <w:szCs w:val="24"/>
                <w:lang w:eastAsia="zh-CN"/>
              </w:rPr>
            </w:pPr>
            <w:r w:rsidRPr="00E74F8F">
              <w:rPr>
                <w:rFonts w:ascii="Times New Roman" w:hAnsi="Times New Roman" w:cs="Times New Roman"/>
              </w:rPr>
              <w:t>Структура, %</w:t>
            </w:r>
          </w:p>
        </w:tc>
      </w:tr>
      <w:tr w:rsidR="00E74F8F" w:rsidRPr="00E74F8F" w:rsidTr="00E74F8F">
        <w:trPr>
          <w:cantSplit/>
          <w:trHeight w:val="325"/>
          <w:tblHead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E74F8F" w:rsidRPr="00E74F8F" w:rsidRDefault="00E74F8F">
            <w:pPr>
              <w:rPr>
                <w:rFonts w:ascii="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993"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992"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r>
      <w:tr w:rsidR="00E74F8F" w:rsidRPr="00E74F8F" w:rsidTr="00E74F8F">
        <w:trPr>
          <w:trHeight w:val="70"/>
        </w:trPr>
        <w:tc>
          <w:tcPr>
            <w:tcW w:w="3090"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color w:val="800080"/>
                <w:sz w:val="24"/>
                <w:szCs w:val="24"/>
                <w:lang w:eastAsia="zh-CN"/>
              </w:rPr>
            </w:pPr>
            <w:r w:rsidRPr="00E74F8F">
              <w:rPr>
                <w:rFonts w:ascii="Times New Roman" w:hAnsi="Times New Roman" w:cs="Times New Roman"/>
              </w:rPr>
              <w:t>Общая заболеваемость</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809,8</w:t>
            </w:r>
          </w:p>
        </w:tc>
        <w:tc>
          <w:tcPr>
            <w:tcW w:w="9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877,8</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857,8</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100</w:t>
            </w:r>
          </w:p>
        </w:tc>
      </w:tr>
      <w:tr w:rsidR="00E74F8F" w:rsidRPr="00E74F8F" w:rsidTr="00E74F8F">
        <w:trPr>
          <w:trHeight w:val="890"/>
        </w:trPr>
        <w:tc>
          <w:tcPr>
            <w:tcW w:w="3090"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color w:val="800080"/>
                <w:sz w:val="24"/>
                <w:szCs w:val="24"/>
                <w:lang w:eastAsia="zh-CN"/>
              </w:rPr>
            </w:pPr>
            <w:r w:rsidRPr="00E74F8F">
              <w:rPr>
                <w:rFonts w:ascii="Times New Roman" w:hAnsi="Times New Roman" w:cs="Times New Roman"/>
              </w:rPr>
              <w:t>Отеки, протеинурия и гипертензивные расстройства</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w:t>
            </w:r>
          </w:p>
        </w:tc>
        <w:tc>
          <w:tcPr>
            <w:tcW w:w="9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w:t>
            </w:r>
          </w:p>
        </w:tc>
      </w:tr>
      <w:tr w:rsidR="00E74F8F" w:rsidRPr="00E74F8F" w:rsidTr="00E74F8F">
        <w:trPr>
          <w:trHeight w:val="435"/>
        </w:trPr>
        <w:tc>
          <w:tcPr>
            <w:tcW w:w="3090"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color w:val="800080"/>
                <w:sz w:val="24"/>
                <w:szCs w:val="24"/>
                <w:lang w:eastAsia="zh-CN"/>
              </w:rPr>
            </w:pPr>
            <w:r w:rsidRPr="00E74F8F">
              <w:rPr>
                <w:rFonts w:ascii="Times New Roman" w:hAnsi="Times New Roman" w:cs="Times New Roman"/>
              </w:rPr>
              <w:t xml:space="preserve"> </w:t>
            </w:r>
            <w:proofErr w:type="spellStart"/>
            <w:r w:rsidRPr="00E74F8F">
              <w:rPr>
                <w:rFonts w:ascii="Times New Roman" w:hAnsi="Times New Roman" w:cs="Times New Roman"/>
              </w:rPr>
              <w:t>Преэклампсия</w:t>
            </w:r>
            <w:proofErr w:type="spellEnd"/>
            <w:r w:rsidRPr="00E74F8F">
              <w:rPr>
                <w:rFonts w:ascii="Times New Roman" w:hAnsi="Times New Roman" w:cs="Times New Roman"/>
              </w:rPr>
              <w:t>, эклампсия</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8,8</w:t>
            </w:r>
          </w:p>
        </w:tc>
        <w:tc>
          <w:tcPr>
            <w:tcW w:w="9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8,5</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7,0</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1,0</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0,4</w:t>
            </w:r>
          </w:p>
        </w:tc>
      </w:tr>
      <w:tr w:rsidR="00E74F8F" w:rsidRPr="00E74F8F" w:rsidTr="00E74F8F">
        <w:trPr>
          <w:trHeight w:val="150"/>
        </w:trPr>
        <w:tc>
          <w:tcPr>
            <w:tcW w:w="3090"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color w:val="800080"/>
                <w:sz w:val="24"/>
                <w:szCs w:val="24"/>
                <w:lang w:eastAsia="zh-CN"/>
              </w:rPr>
            </w:pPr>
            <w:r w:rsidRPr="00E74F8F">
              <w:rPr>
                <w:rFonts w:ascii="Times New Roman" w:hAnsi="Times New Roman" w:cs="Times New Roman"/>
              </w:rPr>
              <w:t>Венозные осложнения</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27,9</w:t>
            </w:r>
          </w:p>
        </w:tc>
        <w:tc>
          <w:tcPr>
            <w:tcW w:w="9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33,8</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32,8</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3,5</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3,8</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3,8</w:t>
            </w:r>
          </w:p>
        </w:tc>
      </w:tr>
      <w:tr w:rsidR="00E74F8F" w:rsidRPr="00E74F8F" w:rsidTr="00E74F8F">
        <w:trPr>
          <w:trHeight w:val="97"/>
        </w:trPr>
        <w:tc>
          <w:tcPr>
            <w:tcW w:w="3090"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color w:val="800080"/>
                <w:sz w:val="24"/>
                <w:szCs w:val="24"/>
                <w:lang w:eastAsia="zh-CN"/>
              </w:rPr>
            </w:pPr>
            <w:r w:rsidRPr="00E74F8F">
              <w:rPr>
                <w:rFonts w:ascii="Times New Roman" w:hAnsi="Times New Roman" w:cs="Times New Roman"/>
              </w:rPr>
              <w:t>Болезни мочеполовой системы</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112,0</w:t>
            </w:r>
          </w:p>
        </w:tc>
        <w:tc>
          <w:tcPr>
            <w:tcW w:w="9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119,5</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112,5</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13,8</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13,6</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13,1</w:t>
            </w:r>
          </w:p>
        </w:tc>
      </w:tr>
      <w:tr w:rsidR="00E74F8F" w:rsidRPr="00E74F8F" w:rsidTr="00E74F8F">
        <w:trPr>
          <w:trHeight w:val="275"/>
        </w:trPr>
        <w:tc>
          <w:tcPr>
            <w:tcW w:w="3090"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color w:val="800080"/>
                <w:sz w:val="24"/>
                <w:szCs w:val="24"/>
                <w:lang w:eastAsia="zh-CN"/>
              </w:rPr>
            </w:pPr>
            <w:r w:rsidRPr="00E74F8F">
              <w:rPr>
                <w:rFonts w:ascii="Times New Roman" w:hAnsi="Times New Roman" w:cs="Times New Roman"/>
              </w:rPr>
              <w:t>Сахарный диабет</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16,7</w:t>
            </w:r>
          </w:p>
        </w:tc>
        <w:tc>
          <w:tcPr>
            <w:tcW w:w="9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29,2</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37,7</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2,1</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3,3</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4,4</w:t>
            </w:r>
          </w:p>
        </w:tc>
      </w:tr>
      <w:tr w:rsidR="00E74F8F" w:rsidRPr="00E74F8F" w:rsidTr="00E74F8F">
        <w:trPr>
          <w:trHeight w:val="275"/>
        </w:trPr>
        <w:tc>
          <w:tcPr>
            <w:tcW w:w="3090"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color w:val="800080"/>
                <w:sz w:val="24"/>
                <w:szCs w:val="24"/>
                <w:lang w:eastAsia="zh-CN"/>
              </w:rPr>
            </w:pPr>
            <w:r w:rsidRPr="00E74F8F">
              <w:rPr>
                <w:rFonts w:ascii="Times New Roman" w:hAnsi="Times New Roman" w:cs="Times New Roman"/>
              </w:rPr>
              <w:t>Анемия</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177,6</w:t>
            </w:r>
          </w:p>
        </w:tc>
        <w:tc>
          <w:tcPr>
            <w:tcW w:w="9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172,8</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170,6</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21,9</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19,7</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19,9</w:t>
            </w:r>
          </w:p>
        </w:tc>
      </w:tr>
      <w:tr w:rsidR="00E74F8F" w:rsidRPr="00E74F8F" w:rsidTr="00E74F8F">
        <w:trPr>
          <w:trHeight w:val="559"/>
        </w:trPr>
        <w:tc>
          <w:tcPr>
            <w:tcW w:w="3090"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color w:val="800080"/>
                <w:sz w:val="24"/>
                <w:szCs w:val="24"/>
                <w:lang w:eastAsia="zh-CN"/>
              </w:rPr>
            </w:pPr>
            <w:r w:rsidRPr="00E74F8F">
              <w:rPr>
                <w:rFonts w:ascii="Times New Roman" w:hAnsi="Times New Roman" w:cs="Times New Roman"/>
              </w:rPr>
              <w:lastRenderedPageBreak/>
              <w:t>Болезни эндокринной системы</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47,8</w:t>
            </w:r>
          </w:p>
        </w:tc>
        <w:tc>
          <w:tcPr>
            <w:tcW w:w="9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58,7</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66,4</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5,9</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6,7</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7,7</w:t>
            </w:r>
          </w:p>
        </w:tc>
      </w:tr>
      <w:tr w:rsidR="00E74F8F" w:rsidRPr="00E74F8F" w:rsidTr="00E74F8F">
        <w:trPr>
          <w:trHeight w:val="567"/>
        </w:trPr>
        <w:tc>
          <w:tcPr>
            <w:tcW w:w="3090"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color w:val="800080"/>
                <w:sz w:val="24"/>
                <w:szCs w:val="24"/>
                <w:lang w:eastAsia="zh-CN"/>
              </w:rPr>
            </w:pPr>
            <w:r w:rsidRPr="00E74F8F">
              <w:rPr>
                <w:rFonts w:ascii="Times New Roman" w:hAnsi="Times New Roman" w:cs="Times New Roman"/>
              </w:rPr>
              <w:t>Болезни системы кровообращения</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31,9</w:t>
            </w:r>
          </w:p>
        </w:tc>
        <w:tc>
          <w:tcPr>
            <w:tcW w:w="9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46,4</w:t>
            </w:r>
          </w:p>
        </w:tc>
        <w:tc>
          <w:tcPr>
            <w:tcW w:w="992"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40,2</w:t>
            </w:r>
          </w:p>
        </w:tc>
        <w:tc>
          <w:tcPr>
            <w:tcW w:w="992"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3,9</w:t>
            </w:r>
          </w:p>
        </w:tc>
        <w:tc>
          <w:tcPr>
            <w:tcW w:w="113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5,2</w:t>
            </w:r>
          </w:p>
        </w:tc>
        <w:tc>
          <w:tcPr>
            <w:tcW w:w="1276"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4,7</w:t>
            </w:r>
          </w:p>
        </w:tc>
      </w:tr>
    </w:tbl>
    <w:p w:rsidR="00E74F8F" w:rsidRPr="00E74F8F" w:rsidRDefault="00E74F8F" w:rsidP="00E74F8F">
      <w:pPr>
        <w:jc w:val="center"/>
        <w:rPr>
          <w:rFonts w:ascii="Times New Roman" w:hAnsi="Times New Roman" w:cs="Times New Roman"/>
          <w:b/>
          <w:lang w:eastAsia="zh-CN"/>
        </w:rPr>
      </w:pPr>
    </w:p>
    <w:p w:rsidR="00E74F8F" w:rsidRPr="00E74F8F" w:rsidRDefault="00E74F8F" w:rsidP="00E74F8F">
      <w:pPr>
        <w:jc w:val="center"/>
        <w:rPr>
          <w:rFonts w:ascii="Times New Roman" w:hAnsi="Times New Roman" w:cs="Times New Roman"/>
          <w:b/>
        </w:rPr>
      </w:pPr>
      <w:r w:rsidRPr="00E74F8F">
        <w:rPr>
          <w:rFonts w:ascii="Times New Roman" w:hAnsi="Times New Roman" w:cs="Times New Roman"/>
          <w:b/>
        </w:rPr>
        <w:t>Общая заболеваемость всех групп детского населения на 1000 детей</w:t>
      </w:r>
    </w:p>
    <w:p w:rsidR="00E74F8F" w:rsidRPr="00E74F8F" w:rsidRDefault="00E74F8F" w:rsidP="00E74F8F">
      <w:pPr>
        <w:jc w:val="center"/>
        <w:rPr>
          <w:rFonts w:ascii="Times New Roman" w:hAnsi="Times New Roman" w:cs="Times New Roman"/>
          <w:bCs/>
        </w:rPr>
      </w:pPr>
      <w:r w:rsidRPr="00E74F8F">
        <w:rPr>
          <w:rFonts w:ascii="Times New Roman" w:hAnsi="Times New Roman" w:cs="Times New Roman"/>
          <w:b/>
        </w:rPr>
        <w:t>за 2018–2020 гг. по Липецкой области и РФ</w:t>
      </w:r>
    </w:p>
    <w:tbl>
      <w:tblPr>
        <w:tblW w:w="5000" w:type="pct"/>
        <w:tblLook w:val="04A0" w:firstRow="1" w:lastRow="0" w:firstColumn="1" w:lastColumn="0" w:noHBand="0" w:noVBand="1"/>
      </w:tblPr>
      <w:tblGrid>
        <w:gridCol w:w="4085"/>
        <w:gridCol w:w="1206"/>
        <w:gridCol w:w="936"/>
        <w:gridCol w:w="1206"/>
        <w:gridCol w:w="936"/>
        <w:gridCol w:w="1202"/>
      </w:tblGrid>
      <w:tr w:rsidR="00E74F8F" w:rsidRPr="00E74F8F" w:rsidTr="00E74F8F">
        <w:trPr>
          <w:cantSplit/>
          <w:trHeight w:val="315"/>
        </w:trPr>
        <w:tc>
          <w:tcPr>
            <w:tcW w:w="2134" w:type="pct"/>
            <w:vMerge w:val="restart"/>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bCs/>
                <w:color w:val="000000"/>
              </w:rPr>
              <w:t>Общая заболеваемость на 1000 детей соответствующего возраста</w:t>
            </w:r>
          </w:p>
        </w:tc>
        <w:tc>
          <w:tcPr>
            <w:tcW w:w="1118" w:type="pct"/>
            <w:gridSpan w:val="2"/>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2018 год</w:t>
            </w:r>
          </w:p>
        </w:tc>
        <w:tc>
          <w:tcPr>
            <w:tcW w:w="1118" w:type="pct"/>
            <w:gridSpan w:val="2"/>
            <w:tcBorders>
              <w:top w:val="single" w:sz="4" w:space="0" w:color="auto"/>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2019 год</w:t>
            </w:r>
          </w:p>
        </w:tc>
        <w:tc>
          <w:tcPr>
            <w:tcW w:w="630" w:type="pct"/>
            <w:tcBorders>
              <w:top w:val="single" w:sz="4" w:space="0" w:color="auto"/>
              <w:left w:val="nil"/>
              <w:bottom w:val="single" w:sz="4" w:space="0" w:color="auto"/>
              <w:right w:val="single" w:sz="4" w:space="0" w:color="auto"/>
            </w:tcBorders>
            <w:noWrap/>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2020 год</w:t>
            </w:r>
          </w:p>
        </w:tc>
      </w:tr>
      <w:tr w:rsidR="00E74F8F" w:rsidRPr="00E74F8F" w:rsidTr="00E74F8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rPr>
                <w:rFonts w:ascii="Times New Roman" w:hAnsi="Times New Roman" w:cs="Times New Roman"/>
                <w:color w:val="000000"/>
                <w:sz w:val="24"/>
                <w:szCs w:val="24"/>
              </w:rPr>
            </w:pPr>
          </w:p>
        </w:tc>
        <w:tc>
          <w:tcPr>
            <w:tcW w:w="630" w:type="pct"/>
            <w:tcBorders>
              <w:top w:val="nil"/>
              <w:left w:val="single" w:sz="4" w:space="0" w:color="auto"/>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Липецкая область</w:t>
            </w:r>
          </w:p>
        </w:tc>
        <w:tc>
          <w:tcPr>
            <w:tcW w:w="489"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РФ</w:t>
            </w:r>
          </w:p>
        </w:tc>
        <w:tc>
          <w:tcPr>
            <w:tcW w:w="630"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Липецкая область</w:t>
            </w:r>
          </w:p>
        </w:tc>
        <w:tc>
          <w:tcPr>
            <w:tcW w:w="489"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РФ</w:t>
            </w:r>
          </w:p>
        </w:tc>
        <w:tc>
          <w:tcPr>
            <w:tcW w:w="630"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Липецкая область</w:t>
            </w:r>
          </w:p>
        </w:tc>
      </w:tr>
      <w:tr w:rsidR="00E74F8F" w:rsidRPr="00E74F8F" w:rsidTr="00E74F8F">
        <w:trPr>
          <w:trHeight w:val="315"/>
        </w:trPr>
        <w:tc>
          <w:tcPr>
            <w:tcW w:w="2134" w:type="pct"/>
            <w:tcBorders>
              <w:top w:val="nil"/>
              <w:left w:val="single" w:sz="4" w:space="0" w:color="auto"/>
              <w:bottom w:val="single" w:sz="4" w:space="0" w:color="auto"/>
              <w:right w:val="single" w:sz="4" w:space="0" w:color="auto"/>
            </w:tcBorders>
            <w:vAlign w:val="center"/>
            <w:hideMark/>
          </w:tcPr>
          <w:p w:rsidR="00E74F8F" w:rsidRPr="00E74F8F" w:rsidRDefault="00E74F8F">
            <w:pPr>
              <w:rPr>
                <w:rFonts w:ascii="Times New Roman" w:hAnsi="Times New Roman" w:cs="Times New Roman"/>
                <w:color w:val="000000"/>
                <w:sz w:val="24"/>
                <w:szCs w:val="24"/>
              </w:rPr>
            </w:pPr>
            <w:r w:rsidRPr="00E74F8F">
              <w:rPr>
                <w:rFonts w:ascii="Times New Roman" w:hAnsi="Times New Roman" w:cs="Times New Roman"/>
                <w:color w:val="000000"/>
              </w:rPr>
              <w:t>Новорожденные</w:t>
            </w:r>
          </w:p>
        </w:tc>
        <w:tc>
          <w:tcPr>
            <w:tcW w:w="630" w:type="pct"/>
            <w:tcBorders>
              <w:top w:val="nil"/>
              <w:left w:val="single" w:sz="4" w:space="0" w:color="auto"/>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666,3</w:t>
            </w:r>
          </w:p>
        </w:tc>
        <w:tc>
          <w:tcPr>
            <w:tcW w:w="489"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FF0000"/>
                <w:sz w:val="24"/>
                <w:szCs w:val="24"/>
              </w:rPr>
            </w:pPr>
            <w:r w:rsidRPr="00E74F8F">
              <w:rPr>
                <w:rFonts w:ascii="Times New Roman" w:hAnsi="Times New Roman" w:cs="Times New Roman"/>
                <w:color w:val="000000"/>
              </w:rPr>
              <w:t> </w:t>
            </w:r>
          </w:p>
        </w:tc>
        <w:tc>
          <w:tcPr>
            <w:tcW w:w="630"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590,2</w:t>
            </w:r>
          </w:p>
        </w:tc>
        <w:tc>
          <w:tcPr>
            <w:tcW w:w="489" w:type="pct"/>
            <w:tcBorders>
              <w:top w:val="nil"/>
              <w:left w:val="nil"/>
              <w:bottom w:val="single" w:sz="4" w:space="0" w:color="auto"/>
              <w:right w:val="single" w:sz="4" w:space="0" w:color="auto"/>
            </w:tcBorders>
            <w:noWrap/>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 </w:t>
            </w:r>
          </w:p>
        </w:tc>
        <w:tc>
          <w:tcPr>
            <w:tcW w:w="630" w:type="pct"/>
            <w:tcBorders>
              <w:top w:val="nil"/>
              <w:left w:val="nil"/>
              <w:bottom w:val="single" w:sz="4" w:space="0" w:color="auto"/>
              <w:right w:val="single" w:sz="4" w:space="0" w:color="auto"/>
            </w:tcBorders>
            <w:noWrap/>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622,1</w:t>
            </w:r>
          </w:p>
        </w:tc>
      </w:tr>
      <w:tr w:rsidR="00E74F8F" w:rsidRPr="00E74F8F" w:rsidTr="00E74F8F">
        <w:trPr>
          <w:trHeight w:val="315"/>
        </w:trPr>
        <w:tc>
          <w:tcPr>
            <w:tcW w:w="2134" w:type="pct"/>
            <w:tcBorders>
              <w:top w:val="nil"/>
              <w:left w:val="single" w:sz="4" w:space="0" w:color="auto"/>
              <w:bottom w:val="single" w:sz="4" w:space="0" w:color="auto"/>
              <w:right w:val="single" w:sz="4" w:space="0" w:color="auto"/>
            </w:tcBorders>
            <w:vAlign w:val="center"/>
            <w:hideMark/>
          </w:tcPr>
          <w:p w:rsidR="00E74F8F" w:rsidRPr="00E74F8F" w:rsidRDefault="00E74F8F">
            <w:pPr>
              <w:rPr>
                <w:rFonts w:ascii="Times New Roman" w:hAnsi="Times New Roman" w:cs="Times New Roman"/>
                <w:color w:val="000000"/>
                <w:sz w:val="24"/>
                <w:szCs w:val="24"/>
              </w:rPr>
            </w:pPr>
            <w:r w:rsidRPr="00E74F8F">
              <w:rPr>
                <w:rFonts w:ascii="Times New Roman" w:hAnsi="Times New Roman" w:cs="Times New Roman"/>
                <w:color w:val="000000"/>
              </w:rPr>
              <w:t>Дети первого года жизни</w:t>
            </w:r>
          </w:p>
        </w:tc>
        <w:tc>
          <w:tcPr>
            <w:tcW w:w="630" w:type="pct"/>
            <w:tcBorders>
              <w:top w:val="nil"/>
              <w:left w:val="single" w:sz="4" w:space="0" w:color="auto"/>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1744,2</w:t>
            </w:r>
          </w:p>
        </w:tc>
        <w:tc>
          <w:tcPr>
            <w:tcW w:w="489"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 </w:t>
            </w:r>
          </w:p>
        </w:tc>
        <w:tc>
          <w:tcPr>
            <w:tcW w:w="630"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1544,4</w:t>
            </w:r>
          </w:p>
        </w:tc>
        <w:tc>
          <w:tcPr>
            <w:tcW w:w="489" w:type="pct"/>
            <w:tcBorders>
              <w:top w:val="nil"/>
              <w:left w:val="nil"/>
              <w:bottom w:val="single" w:sz="4" w:space="0" w:color="auto"/>
              <w:right w:val="single" w:sz="4" w:space="0" w:color="auto"/>
            </w:tcBorders>
            <w:noWrap/>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 </w:t>
            </w:r>
          </w:p>
        </w:tc>
        <w:tc>
          <w:tcPr>
            <w:tcW w:w="630" w:type="pct"/>
            <w:tcBorders>
              <w:top w:val="nil"/>
              <w:left w:val="nil"/>
              <w:bottom w:val="single" w:sz="4" w:space="0" w:color="auto"/>
              <w:right w:val="single" w:sz="4" w:space="0" w:color="auto"/>
            </w:tcBorders>
            <w:noWrap/>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1420,4</w:t>
            </w:r>
          </w:p>
        </w:tc>
      </w:tr>
      <w:tr w:rsidR="00E74F8F" w:rsidRPr="00E74F8F" w:rsidTr="00E74F8F">
        <w:trPr>
          <w:trHeight w:val="315"/>
        </w:trPr>
        <w:tc>
          <w:tcPr>
            <w:tcW w:w="2134" w:type="pct"/>
            <w:tcBorders>
              <w:top w:val="nil"/>
              <w:left w:val="single" w:sz="4" w:space="0" w:color="auto"/>
              <w:bottom w:val="single" w:sz="4" w:space="0" w:color="auto"/>
              <w:right w:val="single" w:sz="4" w:space="0" w:color="auto"/>
            </w:tcBorders>
            <w:vAlign w:val="center"/>
            <w:hideMark/>
          </w:tcPr>
          <w:p w:rsidR="00E74F8F" w:rsidRPr="00E74F8F" w:rsidRDefault="00E74F8F">
            <w:pPr>
              <w:rPr>
                <w:rFonts w:ascii="Times New Roman" w:hAnsi="Times New Roman" w:cs="Times New Roman"/>
                <w:color w:val="000000"/>
                <w:sz w:val="24"/>
                <w:szCs w:val="24"/>
              </w:rPr>
            </w:pPr>
            <w:r w:rsidRPr="00E74F8F">
              <w:rPr>
                <w:rFonts w:ascii="Times New Roman" w:hAnsi="Times New Roman" w:cs="Times New Roman"/>
                <w:color w:val="000000"/>
              </w:rPr>
              <w:t>Дети в возрасте от 0 до 14 лет</w:t>
            </w:r>
          </w:p>
        </w:tc>
        <w:tc>
          <w:tcPr>
            <w:tcW w:w="630" w:type="pct"/>
            <w:tcBorders>
              <w:top w:val="nil"/>
              <w:left w:val="single" w:sz="4" w:space="0" w:color="auto"/>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1749,6</w:t>
            </w:r>
          </w:p>
        </w:tc>
        <w:tc>
          <w:tcPr>
            <w:tcW w:w="489"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2204,9</w:t>
            </w:r>
          </w:p>
        </w:tc>
        <w:tc>
          <w:tcPr>
            <w:tcW w:w="630"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1688,7</w:t>
            </w:r>
          </w:p>
        </w:tc>
        <w:tc>
          <w:tcPr>
            <w:tcW w:w="489" w:type="pct"/>
            <w:tcBorders>
              <w:top w:val="nil"/>
              <w:left w:val="nil"/>
              <w:bottom w:val="single" w:sz="4" w:space="0" w:color="auto"/>
              <w:right w:val="single" w:sz="4" w:space="0" w:color="auto"/>
            </w:tcBorders>
            <w:noWrap/>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2199,6</w:t>
            </w:r>
          </w:p>
        </w:tc>
        <w:tc>
          <w:tcPr>
            <w:tcW w:w="630" w:type="pct"/>
            <w:tcBorders>
              <w:top w:val="nil"/>
              <w:left w:val="nil"/>
              <w:bottom w:val="single" w:sz="4" w:space="0" w:color="auto"/>
              <w:right w:val="single" w:sz="4" w:space="0" w:color="auto"/>
            </w:tcBorders>
            <w:noWrap/>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1581,4</w:t>
            </w:r>
          </w:p>
        </w:tc>
      </w:tr>
      <w:tr w:rsidR="00E74F8F" w:rsidRPr="00E74F8F" w:rsidTr="00E74F8F">
        <w:trPr>
          <w:trHeight w:val="315"/>
        </w:trPr>
        <w:tc>
          <w:tcPr>
            <w:tcW w:w="2134" w:type="pct"/>
            <w:tcBorders>
              <w:top w:val="nil"/>
              <w:left w:val="single" w:sz="4" w:space="0" w:color="auto"/>
              <w:bottom w:val="single" w:sz="4" w:space="0" w:color="auto"/>
              <w:right w:val="single" w:sz="4" w:space="0" w:color="auto"/>
            </w:tcBorders>
            <w:vAlign w:val="center"/>
            <w:hideMark/>
          </w:tcPr>
          <w:p w:rsidR="00E74F8F" w:rsidRPr="00E74F8F" w:rsidRDefault="00E74F8F">
            <w:pPr>
              <w:rPr>
                <w:rFonts w:ascii="Times New Roman" w:hAnsi="Times New Roman" w:cs="Times New Roman"/>
                <w:color w:val="000000"/>
                <w:sz w:val="24"/>
                <w:szCs w:val="24"/>
              </w:rPr>
            </w:pPr>
            <w:r w:rsidRPr="00E74F8F">
              <w:rPr>
                <w:rFonts w:ascii="Times New Roman" w:hAnsi="Times New Roman" w:cs="Times New Roman"/>
                <w:color w:val="000000"/>
              </w:rPr>
              <w:t>Подростки 15 – 17 лет включительно</w:t>
            </w:r>
          </w:p>
        </w:tc>
        <w:tc>
          <w:tcPr>
            <w:tcW w:w="630" w:type="pct"/>
            <w:tcBorders>
              <w:top w:val="nil"/>
              <w:left w:val="single" w:sz="4" w:space="0" w:color="auto"/>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1776,6</w:t>
            </w:r>
          </w:p>
        </w:tc>
        <w:tc>
          <w:tcPr>
            <w:tcW w:w="489"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2224,0</w:t>
            </w:r>
          </w:p>
        </w:tc>
        <w:tc>
          <w:tcPr>
            <w:tcW w:w="630" w:type="pct"/>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1736,5</w:t>
            </w:r>
          </w:p>
        </w:tc>
        <w:tc>
          <w:tcPr>
            <w:tcW w:w="489" w:type="pct"/>
            <w:tcBorders>
              <w:top w:val="nil"/>
              <w:left w:val="nil"/>
              <w:bottom w:val="single" w:sz="4" w:space="0" w:color="auto"/>
              <w:right w:val="single" w:sz="4" w:space="0" w:color="auto"/>
            </w:tcBorders>
            <w:noWrap/>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2225,4</w:t>
            </w:r>
          </w:p>
        </w:tc>
        <w:tc>
          <w:tcPr>
            <w:tcW w:w="630" w:type="pct"/>
            <w:tcBorders>
              <w:top w:val="nil"/>
              <w:left w:val="nil"/>
              <w:bottom w:val="single" w:sz="4" w:space="0" w:color="auto"/>
              <w:right w:val="single" w:sz="4" w:space="0" w:color="auto"/>
            </w:tcBorders>
            <w:noWrap/>
            <w:vAlign w:val="center"/>
            <w:hideMark/>
          </w:tcPr>
          <w:p w:rsidR="00E74F8F" w:rsidRPr="00E74F8F" w:rsidRDefault="00E74F8F">
            <w:pPr>
              <w:jc w:val="center"/>
              <w:rPr>
                <w:rFonts w:ascii="Times New Roman" w:hAnsi="Times New Roman" w:cs="Times New Roman"/>
                <w:color w:val="000000"/>
                <w:sz w:val="24"/>
                <w:szCs w:val="24"/>
              </w:rPr>
            </w:pPr>
            <w:r w:rsidRPr="00E74F8F">
              <w:rPr>
                <w:rFonts w:ascii="Times New Roman" w:hAnsi="Times New Roman" w:cs="Times New Roman"/>
                <w:color w:val="000000"/>
              </w:rPr>
              <w:t>1664,4</w:t>
            </w:r>
          </w:p>
        </w:tc>
      </w:tr>
    </w:tbl>
    <w:p w:rsidR="00E74F8F" w:rsidRDefault="00E74F8F" w:rsidP="00E74F8F">
      <w:pPr>
        <w:ind w:firstLine="567"/>
        <w:jc w:val="both"/>
        <w:rPr>
          <w:rFonts w:ascii="Times New Roman" w:hAnsi="Times New Roman" w:cs="Times New Roman"/>
        </w:rPr>
      </w:pPr>
    </w:p>
    <w:p w:rsidR="00E74F8F" w:rsidRPr="00E74F8F" w:rsidRDefault="00E74F8F" w:rsidP="00E74F8F">
      <w:pPr>
        <w:spacing w:after="0" w:line="240" w:lineRule="auto"/>
        <w:ind w:firstLine="567"/>
        <w:jc w:val="both"/>
        <w:rPr>
          <w:rFonts w:ascii="Times New Roman" w:hAnsi="Times New Roman" w:cs="Times New Roman"/>
        </w:rPr>
      </w:pPr>
      <w:r w:rsidRPr="00E74F8F">
        <w:rPr>
          <w:rFonts w:ascii="Times New Roman" w:hAnsi="Times New Roman" w:cs="Times New Roman"/>
        </w:rPr>
        <w:t>Общая заболеваемость детей первого года жизни в 2020 году уменьшилась на 8,0%, по сравнению с 2019 годом</w:t>
      </w:r>
      <w:r w:rsidRPr="00E74F8F">
        <w:rPr>
          <w:rFonts w:ascii="Times New Roman" w:hAnsi="Times New Roman" w:cs="Times New Roman"/>
          <w:b/>
        </w:rPr>
        <w:t>,</w:t>
      </w:r>
      <w:r w:rsidRPr="00E74F8F">
        <w:rPr>
          <w:rFonts w:ascii="Times New Roman" w:hAnsi="Times New Roman" w:cs="Times New Roman"/>
        </w:rPr>
        <w:t xml:space="preserve"> у детей в возрасте от 0 до 14 лет уменьшилось </w:t>
      </w:r>
      <w:proofErr w:type="gramStart"/>
      <w:r w:rsidRPr="00E74F8F">
        <w:rPr>
          <w:rFonts w:ascii="Times New Roman" w:hAnsi="Times New Roman" w:cs="Times New Roman"/>
        </w:rPr>
        <w:t>на</w:t>
      </w:r>
      <w:proofErr w:type="gramEnd"/>
      <w:r w:rsidRPr="00E74F8F">
        <w:rPr>
          <w:rFonts w:ascii="Times New Roman" w:hAnsi="Times New Roman" w:cs="Times New Roman"/>
        </w:rPr>
        <w:t xml:space="preserve"> 6,4% и  </w:t>
      </w:r>
      <w:proofErr w:type="gramStart"/>
      <w:r w:rsidRPr="00E74F8F">
        <w:rPr>
          <w:rFonts w:ascii="Times New Roman" w:hAnsi="Times New Roman" w:cs="Times New Roman"/>
        </w:rPr>
        <w:t>в</w:t>
      </w:r>
      <w:proofErr w:type="gramEnd"/>
      <w:r w:rsidRPr="00E74F8F">
        <w:rPr>
          <w:rFonts w:ascii="Times New Roman" w:hAnsi="Times New Roman" w:cs="Times New Roman"/>
        </w:rPr>
        <w:t xml:space="preserve"> возрасте 15-17 лет на 4,2%, что обусловлено ранним проведением и совершенствованием  необходимых методик обследования.</w:t>
      </w:r>
      <w:r w:rsidRPr="00E74F8F">
        <w:rPr>
          <w:rFonts w:ascii="Times New Roman" w:hAnsi="Times New Roman" w:cs="Times New Roman"/>
          <w:b/>
        </w:rPr>
        <w:t xml:space="preserve"> </w:t>
      </w:r>
      <w:r w:rsidRPr="00E74F8F">
        <w:rPr>
          <w:rFonts w:ascii="Times New Roman" w:hAnsi="Times New Roman" w:cs="Times New Roman"/>
        </w:rPr>
        <w:t>Снижению заболеваемости детей раннего возраста по-прежнему способствует выполнение стандарта диспансерного (профилактического) наблюдения детей в течение первого года жизни с обязательным проведением лабораторного обследования.</w:t>
      </w:r>
    </w:p>
    <w:p w:rsidR="00E74F8F" w:rsidRPr="00E74F8F" w:rsidRDefault="00E74F8F" w:rsidP="00E74F8F">
      <w:pPr>
        <w:spacing w:after="0" w:line="240" w:lineRule="auto"/>
        <w:ind w:firstLine="709"/>
        <w:jc w:val="both"/>
        <w:rPr>
          <w:rFonts w:ascii="Times New Roman" w:hAnsi="Times New Roman" w:cs="Times New Roman"/>
        </w:rPr>
      </w:pPr>
      <w:r w:rsidRPr="00E74F8F">
        <w:rPr>
          <w:rFonts w:ascii="Times New Roman" w:hAnsi="Times New Roman" w:cs="Times New Roman"/>
        </w:rPr>
        <w:t>В структуре заболеваемости детей первого года жизни первое место, по-прежнему,  занимают болезни органов дыхания – 52,0% (739,0 на 1000 детей), второе - отдельные состояния, возникающие в перинатальном периоде – 18,9% (269,0 на 1000 детей), третье - занимают травмы, отравления и некоторые другие последствия воздействия внешних причин – 4,5% (63,4 на 1000 детей).</w:t>
      </w:r>
    </w:p>
    <w:p w:rsidR="00E74F8F" w:rsidRPr="00E74F8F" w:rsidRDefault="00E74F8F" w:rsidP="00E74F8F">
      <w:pPr>
        <w:pStyle w:val="1"/>
        <w:jc w:val="center"/>
        <w:rPr>
          <w:sz w:val="24"/>
        </w:rPr>
      </w:pPr>
    </w:p>
    <w:p w:rsidR="00E74F8F" w:rsidRPr="00E74F8F" w:rsidRDefault="00E74F8F" w:rsidP="00E74F8F">
      <w:pPr>
        <w:pStyle w:val="1"/>
        <w:jc w:val="center"/>
        <w:rPr>
          <w:sz w:val="24"/>
        </w:rPr>
      </w:pPr>
      <w:r w:rsidRPr="00E74F8F">
        <w:rPr>
          <w:sz w:val="24"/>
        </w:rPr>
        <w:t xml:space="preserve">Общая заболеваемость детей в возрасте 0-14 лет </w:t>
      </w:r>
    </w:p>
    <w:p w:rsidR="00E74F8F" w:rsidRPr="00E74F8F" w:rsidRDefault="00E74F8F" w:rsidP="00E74F8F">
      <w:pPr>
        <w:pStyle w:val="1"/>
        <w:jc w:val="center"/>
        <w:rPr>
          <w:sz w:val="24"/>
        </w:rPr>
      </w:pPr>
      <w:r w:rsidRPr="00E74F8F">
        <w:rPr>
          <w:sz w:val="24"/>
        </w:rPr>
        <w:t>(на 1000 детей в возрасте 0-14 лет)</w:t>
      </w:r>
    </w:p>
    <w:p w:rsidR="00E74F8F" w:rsidRPr="00E74F8F" w:rsidRDefault="00E74F8F" w:rsidP="00E74F8F">
      <w:pPr>
        <w:rPr>
          <w:rFonts w:ascii="Times New Roman" w:hAnsi="Times New Roman" w:cs="Times New Roman"/>
          <w:sz w:val="24"/>
          <w:highlight w:val="cyan"/>
        </w:rPr>
      </w:pPr>
    </w:p>
    <w:tbl>
      <w:tblPr>
        <w:tblW w:w="9900" w:type="dxa"/>
        <w:jc w:val="center"/>
        <w:tblInd w:w="-5" w:type="dxa"/>
        <w:tblLayout w:type="fixed"/>
        <w:tblLook w:val="04A0" w:firstRow="1" w:lastRow="0" w:firstColumn="1" w:lastColumn="0" w:noHBand="0" w:noVBand="1"/>
      </w:tblPr>
      <w:tblGrid>
        <w:gridCol w:w="4225"/>
        <w:gridCol w:w="1419"/>
        <w:gridCol w:w="1419"/>
        <w:gridCol w:w="1419"/>
        <w:gridCol w:w="1418"/>
      </w:tblGrid>
      <w:tr w:rsidR="00E74F8F" w:rsidRPr="00E74F8F" w:rsidTr="00E74F8F">
        <w:trPr>
          <w:trHeight w:val="339"/>
          <w:jc w:val="center"/>
        </w:trPr>
        <w:tc>
          <w:tcPr>
            <w:tcW w:w="4224" w:type="dxa"/>
            <w:tcBorders>
              <w:top w:val="single" w:sz="4" w:space="0" w:color="000000"/>
              <w:left w:val="single" w:sz="4" w:space="0" w:color="000000"/>
              <w:bottom w:val="single" w:sz="4" w:space="0" w:color="000000"/>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Нозологические формы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Структура в % 2020 г.</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Общая заболеваемость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1749,6</w:t>
            </w:r>
          </w:p>
        </w:tc>
        <w:tc>
          <w:tcPr>
            <w:tcW w:w="1418"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1688,7</w:t>
            </w:r>
          </w:p>
        </w:tc>
        <w:tc>
          <w:tcPr>
            <w:tcW w:w="1418"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1581,4</w:t>
            </w:r>
          </w:p>
        </w:tc>
        <w:tc>
          <w:tcPr>
            <w:tcW w:w="1417"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100,0</w:t>
            </w:r>
          </w:p>
        </w:tc>
      </w:tr>
      <w:tr w:rsidR="00E74F8F" w:rsidRPr="00E74F8F" w:rsidTr="00E74F8F">
        <w:trPr>
          <w:trHeight w:val="157"/>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i/>
              </w:rPr>
              <w:t xml:space="preserve">            в том числе:</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bCs/>
                <w:color w:val="000000"/>
              </w:rPr>
              <w:t> </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bCs/>
                <w:color w:val="000000"/>
              </w:rPr>
              <w:t> </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color w:val="000000"/>
              </w:rPr>
              <w:t> </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color w:val="000000"/>
              </w:rPr>
              <w:t> </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lastRenderedPageBreak/>
              <w:t>Инфекционные и паразитарные болезни</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67,6</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75,0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56,7</w:t>
            </w:r>
          </w:p>
        </w:tc>
        <w:tc>
          <w:tcPr>
            <w:tcW w:w="1417" w:type="dxa"/>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rPr>
            </w:pPr>
            <w:r w:rsidRPr="00E74F8F">
              <w:rPr>
                <w:rFonts w:ascii="Times New Roman" w:hAnsi="Times New Roman" w:cs="Times New Roman"/>
                <w:color w:val="000000"/>
              </w:rPr>
              <w:t>3,6</w:t>
            </w:r>
          </w:p>
        </w:tc>
      </w:tr>
      <w:tr w:rsidR="00E74F8F" w:rsidRPr="00E74F8F" w:rsidTr="00E74F8F">
        <w:trPr>
          <w:trHeight w:val="70"/>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Новообразования</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4,1</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4,8</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0,3</w:t>
            </w:r>
          </w:p>
        </w:tc>
      </w:tr>
      <w:tr w:rsidR="00E74F8F" w:rsidRPr="00E74F8F" w:rsidTr="00E74F8F">
        <w:trPr>
          <w:trHeight w:val="502"/>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Болезни эндокринной системы, расстройства питания</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17,7</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18,5</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18,3</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1,2</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 xml:space="preserve"> в </w:t>
            </w:r>
            <w:proofErr w:type="spellStart"/>
            <w:r w:rsidRPr="00E74F8F">
              <w:rPr>
                <w:rFonts w:ascii="Times New Roman" w:hAnsi="Times New Roman" w:cs="Times New Roman"/>
                <w:bCs/>
              </w:rPr>
              <w:t>т.ч</w:t>
            </w:r>
            <w:proofErr w:type="spellEnd"/>
            <w:r w:rsidRPr="00E74F8F">
              <w:rPr>
                <w:rFonts w:ascii="Times New Roman" w:hAnsi="Times New Roman" w:cs="Times New Roman"/>
                <w:bCs/>
              </w:rPr>
              <w:t>. сахарный диабет - инсулинозависимый</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1,3</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1,4</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1,6</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0,1</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Болезни органов дыхания</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991,7</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911,0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887,6</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56,1</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Болезни органов пищеварения</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79,3</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78,2</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74,5</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4,7</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Болезни мочеполовой системы</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42,1</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40,1</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37,1</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2,3</w:t>
            </w:r>
          </w:p>
        </w:tc>
      </w:tr>
      <w:tr w:rsidR="00E74F8F" w:rsidRPr="00E74F8F" w:rsidTr="00E74F8F">
        <w:trPr>
          <w:trHeight w:val="215"/>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Осложнения беременности, родов (у дев.10-14 лет)</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color w:val="000000"/>
              </w:rPr>
              <w:t>0,0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color w:val="000000"/>
              </w:rPr>
              <w:t>0,0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bCs/>
                <w:color w:val="000000"/>
              </w:rPr>
              <w:t>0,0</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0,0</w:t>
            </w:r>
          </w:p>
        </w:tc>
      </w:tr>
      <w:tr w:rsidR="00E74F8F" w:rsidRPr="00E74F8F" w:rsidTr="00E74F8F">
        <w:trPr>
          <w:trHeight w:val="278"/>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Болезни костно-мышечной и соединительной ткани</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72,5</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75,0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72,3</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4,6</w:t>
            </w:r>
          </w:p>
        </w:tc>
      </w:tr>
      <w:tr w:rsidR="00E74F8F" w:rsidRPr="00E74F8F" w:rsidTr="00E74F8F">
        <w:trPr>
          <w:trHeight w:val="157"/>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Врожденные аномалии</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24,0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24,4</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23,0</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1,5</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Болезни крови и кроветворных органов</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16,0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15,9</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16,6</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1,0</w:t>
            </w:r>
          </w:p>
        </w:tc>
      </w:tr>
      <w:tr w:rsidR="00E74F8F" w:rsidRPr="00E74F8F" w:rsidTr="00E74F8F">
        <w:trPr>
          <w:trHeight w:val="172"/>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в том числе анемии</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15,6</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15,6</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16,2</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1,0</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Психические расстройства</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24,8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25,6</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25,2</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1,6</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Болезни нервной системы</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50,5</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52,2</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53,3</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3,4</w:t>
            </w:r>
          </w:p>
        </w:tc>
      </w:tr>
      <w:tr w:rsidR="00E74F8F" w:rsidRPr="00E74F8F" w:rsidTr="00E74F8F">
        <w:trPr>
          <w:trHeight w:val="157"/>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 xml:space="preserve">в </w:t>
            </w:r>
            <w:proofErr w:type="spellStart"/>
            <w:r w:rsidRPr="00E74F8F">
              <w:rPr>
                <w:rFonts w:ascii="Times New Roman" w:hAnsi="Times New Roman" w:cs="Times New Roman"/>
                <w:bCs/>
              </w:rPr>
              <w:t>т.ч</w:t>
            </w:r>
            <w:proofErr w:type="spellEnd"/>
            <w:r w:rsidRPr="00E74F8F">
              <w:rPr>
                <w:rFonts w:ascii="Times New Roman" w:hAnsi="Times New Roman" w:cs="Times New Roman"/>
                <w:bCs/>
              </w:rPr>
              <w:t xml:space="preserve">. ДЦП </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2,6</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0,2</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Болезни глаза и его придатков</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75,2</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80,8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77,4</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4,9</w:t>
            </w:r>
          </w:p>
        </w:tc>
      </w:tr>
      <w:tr w:rsidR="00E74F8F" w:rsidRPr="00E74F8F" w:rsidTr="00E74F8F">
        <w:trPr>
          <w:trHeight w:val="345"/>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Болезни уха и сосцевидного отростка</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36,9</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36,1</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33,5</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2,1</w:t>
            </w:r>
          </w:p>
        </w:tc>
      </w:tr>
      <w:tr w:rsidR="00E74F8F" w:rsidRPr="00E74F8F" w:rsidTr="00E74F8F">
        <w:trPr>
          <w:trHeight w:val="329"/>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Болезни системы кровообращения</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13,9</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13,4</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11,6</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0,7</w:t>
            </w:r>
          </w:p>
        </w:tc>
      </w:tr>
      <w:tr w:rsidR="00E74F8F" w:rsidRPr="00E74F8F" w:rsidTr="00E74F8F">
        <w:trPr>
          <w:trHeight w:val="157"/>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Болезни кожи</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60,7</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63,6</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58,5</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3,7</w:t>
            </w:r>
          </w:p>
        </w:tc>
      </w:tr>
      <w:tr w:rsidR="00E74F8F" w:rsidRPr="00E74F8F" w:rsidTr="00E74F8F">
        <w:trPr>
          <w:trHeight w:val="345"/>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Травмы и отравления</w:t>
            </w:r>
          </w:p>
        </w:tc>
        <w:tc>
          <w:tcPr>
            <w:tcW w:w="1418"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154,4</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158,0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110,9</w:t>
            </w:r>
          </w:p>
        </w:tc>
        <w:tc>
          <w:tcPr>
            <w:tcW w:w="1417"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7,0</w:t>
            </w:r>
          </w:p>
        </w:tc>
      </w:tr>
      <w:tr w:rsidR="00E74F8F" w:rsidRPr="00E74F8F" w:rsidTr="00E74F8F">
        <w:trPr>
          <w:trHeight w:val="345"/>
          <w:jc w:val="center"/>
        </w:trPr>
        <w:tc>
          <w:tcPr>
            <w:tcW w:w="4224" w:type="dxa"/>
            <w:tcBorders>
              <w:top w:val="single" w:sz="4" w:space="0" w:color="000000"/>
              <w:left w:val="single" w:sz="4" w:space="0" w:color="000000"/>
              <w:bottom w:val="single" w:sz="4" w:space="0" w:color="000000"/>
              <w:right w:val="single" w:sz="4" w:space="0" w:color="auto"/>
            </w:tcBorders>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lang w:val="en-US"/>
              </w:rPr>
              <w:t>COVID-19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sz w:val="24"/>
                <w:szCs w:val="24"/>
                <w:lang w:val="en-US" w:eastAsia="zh-CN"/>
              </w:rPr>
            </w:pPr>
            <w:r w:rsidRPr="00E74F8F">
              <w:rPr>
                <w:rFonts w:ascii="Times New Roman" w:hAnsi="Times New Roman" w:cs="Times New Roman"/>
                <w:color w:val="000000"/>
                <w:lang w:val="en-US"/>
              </w:rPr>
              <w:t>-</w:t>
            </w:r>
          </w:p>
        </w:tc>
        <w:tc>
          <w:tcPr>
            <w:tcW w:w="1418"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sz w:val="24"/>
                <w:szCs w:val="24"/>
                <w:lang w:val="en-US" w:eastAsia="zh-CN"/>
              </w:rPr>
            </w:pPr>
            <w:r w:rsidRPr="00E74F8F">
              <w:rPr>
                <w:rFonts w:ascii="Times New Roman" w:hAnsi="Times New Roman" w:cs="Times New Roman"/>
                <w:color w:val="000000"/>
                <w:lang w:val="en-US"/>
              </w:rPr>
              <w:t>-</w:t>
            </w:r>
          </w:p>
        </w:tc>
        <w:tc>
          <w:tcPr>
            <w:tcW w:w="1418"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sz w:val="24"/>
                <w:szCs w:val="24"/>
                <w:lang w:eastAsia="zh-CN"/>
              </w:rPr>
            </w:pPr>
            <w:r w:rsidRPr="00E74F8F">
              <w:rPr>
                <w:rFonts w:ascii="Times New Roman" w:hAnsi="Times New Roman" w:cs="Times New Roman"/>
                <w:color w:val="000000"/>
                <w:lang w:val="en-US"/>
              </w:rPr>
              <w:t>4</w:t>
            </w:r>
            <w:r w:rsidRPr="00E74F8F">
              <w:rPr>
                <w:rFonts w:ascii="Times New Roman" w:hAnsi="Times New Roman" w:cs="Times New Roman"/>
                <w:color w:val="000000"/>
              </w:rPr>
              <w:t>,7</w:t>
            </w:r>
          </w:p>
        </w:tc>
        <w:tc>
          <w:tcPr>
            <w:tcW w:w="1417"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sz w:val="24"/>
                <w:szCs w:val="24"/>
                <w:lang w:eastAsia="zh-CN"/>
              </w:rPr>
            </w:pPr>
            <w:r w:rsidRPr="00E74F8F">
              <w:rPr>
                <w:rFonts w:ascii="Times New Roman" w:hAnsi="Times New Roman" w:cs="Times New Roman"/>
                <w:color w:val="000000"/>
              </w:rPr>
              <w:t>0,3</w:t>
            </w:r>
          </w:p>
        </w:tc>
      </w:tr>
    </w:tbl>
    <w:p w:rsidR="00E74F8F" w:rsidRPr="00E74F8F" w:rsidRDefault="00E74F8F" w:rsidP="00E74F8F">
      <w:pPr>
        <w:spacing w:after="0" w:line="240" w:lineRule="auto"/>
        <w:ind w:firstLine="567"/>
        <w:contextualSpacing/>
        <w:jc w:val="both"/>
        <w:rPr>
          <w:rFonts w:ascii="Times New Roman" w:hAnsi="Times New Roman" w:cs="Times New Roman"/>
        </w:rPr>
      </w:pPr>
      <w:proofErr w:type="gramStart"/>
      <w:r w:rsidRPr="00E74F8F">
        <w:rPr>
          <w:rFonts w:ascii="Times New Roman" w:hAnsi="Times New Roman" w:cs="Times New Roman"/>
        </w:rPr>
        <w:t>В 2020 году отмечается снижение общей заболеваемости у детей   в возрасте от 0 до 14 лет на 6,4% за счет уменьшения следующих нозологий: некоторые инфекционные и паразитарные болезни, болезни эндокринной системы, расстройства питания и нарушения обмена веществ, психические расстройства и расстройства поведения, болезни глаза и его придаточного аппарата,</w:t>
      </w:r>
      <w:r w:rsidRPr="00E74F8F">
        <w:rPr>
          <w:rFonts w:ascii="Times New Roman" w:hAnsi="Times New Roman" w:cs="Times New Roman"/>
        </w:rPr>
        <w:tab/>
        <w:t>болезни уха и сосцевидного отростка, болезни системы кровообращения, болезни органов дыхания, болезни</w:t>
      </w:r>
      <w:proofErr w:type="gramEnd"/>
      <w:r w:rsidRPr="00E74F8F">
        <w:rPr>
          <w:rFonts w:ascii="Times New Roman" w:hAnsi="Times New Roman" w:cs="Times New Roman"/>
        </w:rPr>
        <w:t xml:space="preserve"> органов пищеварения, болезни кожи и подкожной клетчатки, болезни костно-мышечной системы и соединительной ткани, болезни мочеполовой системы, врожденные аномалии (пороки развития), деформации и хромосомные нарушения, травмы, отравления и некоторые другие последствия воздействия внешних причин. Снижение показателя общей заболеваемости детей данной возрастной категории по указанным нозологиям обусловлено </w:t>
      </w:r>
      <w:r w:rsidRPr="00E74F8F">
        <w:rPr>
          <w:rFonts w:ascii="Times New Roman" w:hAnsi="Times New Roman" w:cs="Times New Roman"/>
        </w:rPr>
        <w:lastRenderedPageBreak/>
        <w:t>качественной диагностикой заболеваний, внедрением новых методик обследования, обеспечением проведения профилактических осмотров несовершеннолетних.</w:t>
      </w:r>
    </w:p>
    <w:p w:rsidR="00E74F8F" w:rsidRPr="00E74F8F" w:rsidRDefault="00E74F8F" w:rsidP="00E74F8F">
      <w:pPr>
        <w:spacing w:after="0" w:line="240" w:lineRule="auto"/>
        <w:ind w:firstLine="567"/>
        <w:contextualSpacing/>
        <w:jc w:val="both"/>
        <w:rPr>
          <w:rFonts w:ascii="Times New Roman" w:hAnsi="Times New Roman" w:cs="Times New Roman"/>
        </w:rPr>
      </w:pPr>
      <w:r w:rsidRPr="00E74F8F">
        <w:rPr>
          <w:rFonts w:ascii="Times New Roman" w:hAnsi="Times New Roman" w:cs="Times New Roman"/>
        </w:rPr>
        <w:t>Внедрение в службе детства порядков оказания педиатрической, неонатальной и онкологической помощи детям, а также федеральных стандартов оказания медицинской помощи новорожденным и детям до 17 лет, позволяет оказывать качественную специализированную, в том числе высокотехнологичную помощь детям на ранних этапах заболевания, тем самым сохранить потенциал для реабилитации и предотвратить формирование хронического заболевания.</w:t>
      </w:r>
    </w:p>
    <w:p w:rsidR="00E74F8F" w:rsidRPr="00E74F8F" w:rsidRDefault="00E74F8F" w:rsidP="00E74F8F">
      <w:pPr>
        <w:spacing w:after="0" w:line="240" w:lineRule="auto"/>
        <w:ind w:firstLine="567"/>
        <w:contextualSpacing/>
        <w:jc w:val="both"/>
        <w:rPr>
          <w:rFonts w:ascii="Times New Roman" w:hAnsi="Times New Roman" w:cs="Times New Roman"/>
        </w:rPr>
      </w:pPr>
      <w:r w:rsidRPr="00E74F8F">
        <w:rPr>
          <w:rFonts w:ascii="Times New Roman" w:hAnsi="Times New Roman" w:cs="Times New Roman"/>
        </w:rPr>
        <w:t xml:space="preserve">В 2020 году на территории области продолжена реализация мероприятий регионального проекта « Развитие детского здравоохранения Липецкой области, включая создание современной инфраструктуры оказания медицинской помощи детям». На мероприятия регионального проекта выделены денежные средства в сумме 108 737,6 тыс. руб., из которых средства областного бюджета составили 30 446,5 тыс. руб. </w:t>
      </w:r>
    </w:p>
    <w:p w:rsidR="00E74F8F" w:rsidRPr="00E74F8F" w:rsidRDefault="00E74F8F" w:rsidP="00E74F8F">
      <w:pPr>
        <w:spacing w:after="0" w:line="240" w:lineRule="auto"/>
        <w:ind w:firstLine="567"/>
        <w:contextualSpacing/>
        <w:jc w:val="both"/>
        <w:rPr>
          <w:rFonts w:ascii="Times New Roman" w:hAnsi="Times New Roman" w:cs="Times New Roman"/>
          <w:bCs/>
          <w:spacing w:val="1"/>
          <w:szCs w:val="28"/>
        </w:rPr>
      </w:pPr>
      <w:r w:rsidRPr="00E74F8F">
        <w:rPr>
          <w:rFonts w:ascii="Times New Roman" w:hAnsi="Times New Roman" w:cs="Times New Roman"/>
        </w:rPr>
        <w:t>На выделенные средства в течение 2020 года проведены ремонты, закуплена мебель и оборудование для создания условий «бережливого производства» в 12 детских поликлиниках/отделениях области</w:t>
      </w:r>
      <w:r w:rsidRPr="00E74F8F">
        <w:rPr>
          <w:rFonts w:ascii="Times New Roman" w:hAnsi="Times New Roman" w:cs="Times New Roman"/>
          <w:b/>
          <w:bCs/>
          <w:spacing w:val="1"/>
          <w:szCs w:val="28"/>
        </w:rPr>
        <w:t xml:space="preserve">. </w:t>
      </w:r>
      <w:r w:rsidRPr="00E74F8F">
        <w:rPr>
          <w:rFonts w:ascii="Times New Roman" w:hAnsi="Times New Roman" w:cs="Times New Roman"/>
          <w:bCs/>
          <w:spacing w:val="1"/>
          <w:szCs w:val="28"/>
        </w:rPr>
        <w:t>Всего за время реализации проекта созданием «бережливого производства» охвачена 31 детская поликлиника/отделения медицинских организаций области.</w:t>
      </w:r>
    </w:p>
    <w:p w:rsidR="00E74F8F" w:rsidRPr="00E74F8F" w:rsidRDefault="00E74F8F" w:rsidP="00E74F8F">
      <w:pPr>
        <w:spacing w:after="0" w:line="240" w:lineRule="auto"/>
        <w:ind w:firstLine="567"/>
        <w:contextualSpacing/>
        <w:jc w:val="both"/>
        <w:rPr>
          <w:rFonts w:ascii="Times New Roman" w:hAnsi="Times New Roman" w:cs="Times New Roman"/>
          <w:color w:val="800080"/>
          <w:szCs w:val="24"/>
        </w:rPr>
      </w:pPr>
      <w:proofErr w:type="gramStart"/>
      <w:r w:rsidRPr="00E74F8F">
        <w:rPr>
          <w:rFonts w:ascii="Times New Roman" w:hAnsi="Times New Roman" w:cs="Times New Roman"/>
        </w:rPr>
        <w:t>В структуре общей заболеваемости детей от 0 до 14 лет на протяжении ряда последних лет первое место занимают болезни органов дыхания, которые составили в 2020 году  56,1% от общего числа заболеваний; травмы и отравления – 7,0%, болезни глаза и его придатков – 4,9%, болезни органов пищеварения – 4,7%, болезни костно-мышечной системы и соединительной ткани – 4,6%, болезни кожи и подкожной клетчатки – 3,7%.</w:t>
      </w:r>
      <w:proofErr w:type="gramEnd"/>
    </w:p>
    <w:p w:rsidR="00E74F8F" w:rsidRPr="00E74F8F" w:rsidRDefault="00E74F8F" w:rsidP="00E74F8F">
      <w:pPr>
        <w:spacing w:after="0" w:line="240" w:lineRule="auto"/>
        <w:ind w:firstLine="567"/>
        <w:contextualSpacing/>
        <w:jc w:val="both"/>
        <w:rPr>
          <w:rFonts w:ascii="Times New Roman" w:hAnsi="Times New Roman" w:cs="Times New Roman"/>
        </w:rPr>
      </w:pPr>
      <w:r w:rsidRPr="00E74F8F">
        <w:rPr>
          <w:rFonts w:ascii="Times New Roman" w:hAnsi="Times New Roman" w:cs="Times New Roman"/>
        </w:rPr>
        <w:t>Заболеваемость болезнями нервной системы среди детей от 0 до 14 лет за 2020 год выросла на 2,1% по сравнению с 2019 годом, что связано с ростом выявляемых случаев наследственных заболеваний у детей первого года жизни.</w:t>
      </w:r>
    </w:p>
    <w:p w:rsidR="00E74F8F" w:rsidRPr="00E74F8F" w:rsidRDefault="00E74F8F" w:rsidP="00E74F8F">
      <w:pPr>
        <w:ind w:firstLine="567"/>
        <w:jc w:val="right"/>
        <w:rPr>
          <w:rFonts w:ascii="Times New Roman" w:hAnsi="Times New Roman" w:cs="Times New Roman"/>
          <w:color w:val="000000"/>
        </w:rPr>
      </w:pPr>
    </w:p>
    <w:p w:rsidR="00E74F8F" w:rsidRPr="00E74F8F" w:rsidRDefault="00E74F8F" w:rsidP="00E74F8F">
      <w:pPr>
        <w:ind w:firstLine="567"/>
        <w:jc w:val="right"/>
        <w:rPr>
          <w:rFonts w:ascii="Times New Roman" w:hAnsi="Times New Roman" w:cs="Times New Roman"/>
          <w:b/>
          <w:color w:val="000000"/>
        </w:rPr>
      </w:pPr>
      <w:r w:rsidRPr="00E74F8F">
        <w:rPr>
          <w:rFonts w:ascii="Times New Roman" w:hAnsi="Times New Roman" w:cs="Times New Roman"/>
          <w:color w:val="000000"/>
        </w:rPr>
        <w:t xml:space="preserve">Диаграмма 1 </w:t>
      </w:r>
    </w:p>
    <w:p w:rsidR="00E74F8F" w:rsidRPr="00E74F8F" w:rsidRDefault="00E74F8F" w:rsidP="00E74F8F">
      <w:pPr>
        <w:ind w:firstLine="567"/>
        <w:jc w:val="center"/>
        <w:rPr>
          <w:rFonts w:ascii="Times New Roman" w:hAnsi="Times New Roman" w:cs="Times New Roman"/>
        </w:rPr>
      </w:pPr>
      <w:r w:rsidRPr="00E74F8F">
        <w:rPr>
          <w:rFonts w:ascii="Times New Roman" w:hAnsi="Times New Roman" w:cs="Times New Roman"/>
          <w:b/>
          <w:color w:val="000000"/>
        </w:rPr>
        <w:t>Структура заболеваемости детей Липецкой области в возрасте от 0 до 14 лет</w:t>
      </w:r>
      <w:r w:rsidRPr="00E74F8F">
        <w:rPr>
          <w:rFonts w:ascii="Times New Roman" w:eastAsia="Times New Roman" w:hAnsi="Times New Roman" w:cs="Times New Roman"/>
          <w:noProof/>
          <w:sz w:val="24"/>
          <w:szCs w:val="24"/>
        </w:rPr>
        <w:drawing>
          <wp:inline distT="0" distB="0" distL="0" distR="0" wp14:anchorId="7061BFBE" wp14:editId="7105C85E">
            <wp:extent cx="5953125" cy="45434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4F8F" w:rsidRPr="00E74F8F" w:rsidRDefault="00E74F8F" w:rsidP="00E74F8F">
      <w:pPr>
        <w:rPr>
          <w:rFonts w:ascii="Times New Roman" w:hAnsi="Times New Roman" w:cs="Times New Roman"/>
        </w:rPr>
      </w:pPr>
    </w:p>
    <w:p w:rsidR="00E74F8F" w:rsidRPr="00E74F8F" w:rsidRDefault="00E74F8F" w:rsidP="00E74F8F">
      <w:pPr>
        <w:pStyle w:val="1"/>
        <w:jc w:val="center"/>
        <w:rPr>
          <w:sz w:val="24"/>
        </w:rPr>
      </w:pPr>
      <w:r w:rsidRPr="00E74F8F">
        <w:rPr>
          <w:sz w:val="24"/>
        </w:rPr>
        <w:t xml:space="preserve">Общая заболеваемость подростков 15-17 лет </w:t>
      </w:r>
    </w:p>
    <w:p w:rsidR="00E74F8F" w:rsidRPr="00E74F8F" w:rsidRDefault="00E74F8F" w:rsidP="00E74F8F">
      <w:pPr>
        <w:pStyle w:val="1"/>
        <w:jc w:val="center"/>
      </w:pPr>
      <w:r w:rsidRPr="00E74F8F">
        <w:rPr>
          <w:sz w:val="24"/>
        </w:rPr>
        <w:t>(на 1000 подросткового возраста)</w:t>
      </w:r>
    </w:p>
    <w:p w:rsidR="00E74F8F" w:rsidRPr="00E74F8F" w:rsidRDefault="00E74F8F" w:rsidP="00E74F8F">
      <w:pPr>
        <w:rPr>
          <w:rFonts w:ascii="Times New Roman" w:hAnsi="Times New Roman" w:cs="Times New Roman"/>
        </w:rPr>
      </w:pPr>
    </w:p>
    <w:tbl>
      <w:tblPr>
        <w:tblW w:w="9645" w:type="dxa"/>
        <w:jc w:val="center"/>
        <w:tblLayout w:type="fixed"/>
        <w:tblLook w:val="04A0" w:firstRow="1" w:lastRow="0" w:firstColumn="1" w:lastColumn="0" w:noHBand="0" w:noVBand="1"/>
      </w:tblPr>
      <w:tblGrid>
        <w:gridCol w:w="5248"/>
        <w:gridCol w:w="993"/>
        <w:gridCol w:w="993"/>
        <w:gridCol w:w="993"/>
        <w:gridCol w:w="1418"/>
      </w:tblGrid>
      <w:tr w:rsidR="00E74F8F" w:rsidRPr="00E74F8F" w:rsidTr="00E74F8F">
        <w:trPr>
          <w:trHeight w:val="72"/>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Нозологические формы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993"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Структура в % 2020 г.</w:t>
            </w:r>
          </w:p>
        </w:tc>
      </w:tr>
      <w:tr w:rsidR="00E74F8F" w:rsidRPr="00E74F8F" w:rsidTr="00E74F8F">
        <w:trPr>
          <w:trHeight w:val="297"/>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Общая заболеваемость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1776,6</w:t>
            </w:r>
          </w:p>
        </w:tc>
        <w:tc>
          <w:tcPr>
            <w:tcW w:w="993"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1736,5</w:t>
            </w:r>
          </w:p>
        </w:tc>
        <w:tc>
          <w:tcPr>
            <w:tcW w:w="993"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1664,4</w:t>
            </w:r>
          </w:p>
        </w:tc>
        <w:tc>
          <w:tcPr>
            <w:tcW w:w="1418"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100,0</w:t>
            </w:r>
          </w:p>
        </w:tc>
      </w:tr>
      <w:tr w:rsidR="00E74F8F" w:rsidRPr="00E74F8F" w:rsidTr="00E74F8F">
        <w:trPr>
          <w:trHeight w:val="141"/>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i/>
              </w:rPr>
              <w:t xml:space="preserve">          в том числе:</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color w:val="000000"/>
              </w:rPr>
              <w:t> </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color w:val="000000"/>
              </w:rPr>
              <w:t> </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color w:val="000000"/>
              </w:rPr>
              <w:t> </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snapToGrid w:val="0"/>
              <w:jc w:val="center"/>
              <w:rPr>
                <w:rFonts w:ascii="Times New Roman" w:hAnsi="Times New Roman" w:cs="Times New Roman"/>
                <w:bCs/>
                <w:sz w:val="24"/>
                <w:szCs w:val="24"/>
                <w:lang w:eastAsia="zh-CN"/>
              </w:rPr>
            </w:pPr>
            <w:r w:rsidRPr="00E74F8F">
              <w:rPr>
                <w:rFonts w:ascii="Times New Roman" w:hAnsi="Times New Roman" w:cs="Times New Roman"/>
                <w:color w:val="000000"/>
              </w:rPr>
              <w:t> </w:t>
            </w:r>
          </w:p>
        </w:tc>
      </w:tr>
      <w:tr w:rsidR="00E74F8F" w:rsidRPr="00E74F8F" w:rsidTr="00E74F8F">
        <w:trPr>
          <w:trHeight w:val="297"/>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 xml:space="preserve">Инфекционные и паразитарные болезни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35,8</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38,9</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35,1</w:t>
            </w:r>
          </w:p>
        </w:tc>
        <w:tc>
          <w:tcPr>
            <w:tcW w:w="1418" w:type="dxa"/>
            <w:tcBorders>
              <w:top w:val="nil"/>
              <w:left w:val="nil"/>
              <w:bottom w:val="single" w:sz="4" w:space="0" w:color="auto"/>
              <w:right w:val="single" w:sz="4" w:space="0" w:color="auto"/>
            </w:tcBorders>
            <w:vAlign w:val="center"/>
            <w:hideMark/>
          </w:tcPr>
          <w:p w:rsidR="00E74F8F" w:rsidRPr="00E74F8F" w:rsidRDefault="00E74F8F">
            <w:pPr>
              <w:jc w:val="center"/>
              <w:rPr>
                <w:rFonts w:ascii="Times New Roman" w:hAnsi="Times New Roman" w:cs="Times New Roman"/>
                <w:color w:val="000000"/>
              </w:rPr>
            </w:pPr>
            <w:r w:rsidRPr="00E74F8F">
              <w:rPr>
                <w:rFonts w:ascii="Times New Roman" w:hAnsi="Times New Roman" w:cs="Times New Roman"/>
                <w:color w:val="000000"/>
              </w:rPr>
              <w:t>2,1</w:t>
            </w:r>
          </w:p>
        </w:tc>
      </w:tr>
      <w:tr w:rsidR="00E74F8F" w:rsidRPr="00E74F8F" w:rsidTr="00E74F8F">
        <w:trPr>
          <w:trHeight w:val="141"/>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Новообразования</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5,0</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4,5</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4,7</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0,3</w:t>
            </w:r>
          </w:p>
        </w:tc>
      </w:tr>
      <w:tr w:rsidR="00E74F8F" w:rsidRPr="00E74F8F" w:rsidTr="00E74F8F">
        <w:trPr>
          <w:trHeight w:val="451"/>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r w:rsidRPr="00E74F8F">
              <w:rPr>
                <w:rFonts w:ascii="Times New Roman" w:hAnsi="Times New Roman" w:cs="Times New Roman"/>
                <w:bCs/>
              </w:rPr>
              <w:t>Болезни эндокринной системы, расстройства</w:t>
            </w:r>
          </w:p>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 xml:space="preserve"> питания</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46,8</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48,3</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44,9</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2,7</w:t>
            </w:r>
          </w:p>
        </w:tc>
      </w:tr>
      <w:tr w:rsidR="00E74F8F" w:rsidRPr="00E74F8F" w:rsidTr="00E74F8F">
        <w:trPr>
          <w:trHeight w:val="148"/>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 xml:space="preserve"> в </w:t>
            </w:r>
            <w:proofErr w:type="spellStart"/>
            <w:r w:rsidRPr="00E74F8F">
              <w:rPr>
                <w:rFonts w:ascii="Times New Roman" w:hAnsi="Times New Roman" w:cs="Times New Roman"/>
                <w:bCs/>
              </w:rPr>
              <w:t>т.ч</w:t>
            </w:r>
            <w:proofErr w:type="spellEnd"/>
            <w:r w:rsidRPr="00E74F8F">
              <w:rPr>
                <w:rFonts w:ascii="Times New Roman" w:hAnsi="Times New Roman" w:cs="Times New Roman"/>
                <w:bCs/>
              </w:rPr>
              <w:t>. сахарный диабет инсулинозависимый</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2,7</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2,7</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2,7</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0,2</w:t>
            </w:r>
          </w:p>
        </w:tc>
      </w:tr>
      <w:tr w:rsidR="00E74F8F" w:rsidRPr="00E74F8F" w:rsidTr="00E74F8F">
        <w:trPr>
          <w:trHeight w:val="297"/>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 xml:space="preserve"> - инсулиннезависимый</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0,0</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0,1</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0,1</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sz w:val="24"/>
                <w:szCs w:val="24"/>
                <w:lang w:eastAsia="zh-CN"/>
              </w:rPr>
            </w:pPr>
            <w:r w:rsidRPr="00E74F8F">
              <w:rPr>
                <w:rFonts w:ascii="Times New Roman" w:hAnsi="Times New Roman" w:cs="Times New Roman"/>
                <w:color w:val="000000"/>
              </w:rPr>
              <w:t>0,01</w:t>
            </w:r>
          </w:p>
        </w:tc>
      </w:tr>
      <w:tr w:rsidR="00E74F8F" w:rsidRPr="00E74F8F" w:rsidTr="00E74F8F">
        <w:trPr>
          <w:trHeight w:val="310"/>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Болезни органов дыхания</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631,6</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595,9</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598,2</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35,9</w:t>
            </w:r>
          </w:p>
        </w:tc>
      </w:tr>
      <w:tr w:rsidR="00E74F8F" w:rsidRPr="00E74F8F" w:rsidTr="00E74F8F">
        <w:trPr>
          <w:trHeight w:val="297"/>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Болезни органов пищеварения</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194,6</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184,0</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167,8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10,1</w:t>
            </w:r>
          </w:p>
        </w:tc>
      </w:tr>
      <w:tr w:rsidR="00E74F8F" w:rsidRPr="00E74F8F" w:rsidTr="00E74F8F">
        <w:trPr>
          <w:trHeight w:val="297"/>
          <w:jc w:val="center"/>
        </w:trPr>
        <w:tc>
          <w:tcPr>
            <w:tcW w:w="5245" w:type="dxa"/>
            <w:tcBorders>
              <w:top w:val="single" w:sz="4" w:space="0" w:color="000000"/>
              <w:left w:val="single" w:sz="4" w:space="0" w:color="000000"/>
              <w:bottom w:val="single" w:sz="4" w:space="0" w:color="auto"/>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Болезни мочеполовой системы</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74,7</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73,6</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67,2</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4,0</w:t>
            </w:r>
          </w:p>
        </w:tc>
      </w:tr>
      <w:tr w:rsidR="00E74F8F" w:rsidRPr="00E74F8F" w:rsidTr="00E74F8F">
        <w:trPr>
          <w:trHeight w:val="451"/>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 xml:space="preserve">Осложнения беременности, родов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4,1</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3,8</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bCs/>
                <w:color w:val="000000"/>
              </w:rPr>
              <w:t>4,8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0,1</w:t>
            </w:r>
          </w:p>
        </w:tc>
      </w:tr>
      <w:tr w:rsidR="00E74F8F" w:rsidRPr="00E74F8F" w:rsidTr="00E74F8F">
        <w:trPr>
          <w:trHeight w:val="451"/>
          <w:jc w:val="center"/>
        </w:trPr>
        <w:tc>
          <w:tcPr>
            <w:tcW w:w="5245" w:type="dxa"/>
            <w:tcBorders>
              <w:top w:val="single" w:sz="4" w:space="0" w:color="auto"/>
              <w:left w:val="single" w:sz="4" w:space="0" w:color="000000"/>
              <w:bottom w:val="single" w:sz="4" w:space="0" w:color="000000"/>
              <w:right w:val="single" w:sz="4" w:space="0" w:color="auto"/>
            </w:tcBorders>
            <w:vAlign w:val="center"/>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 xml:space="preserve">Болезни костно-мышечной и соединительной ткани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141,1</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137,6</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125,0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7,5</w:t>
            </w:r>
          </w:p>
        </w:tc>
      </w:tr>
      <w:tr w:rsidR="00E74F8F" w:rsidRPr="00E74F8F" w:rsidTr="00E74F8F">
        <w:trPr>
          <w:trHeight w:val="141"/>
          <w:jc w:val="center"/>
        </w:trPr>
        <w:tc>
          <w:tcPr>
            <w:tcW w:w="5245" w:type="dxa"/>
            <w:tcBorders>
              <w:top w:val="single" w:sz="4" w:space="0" w:color="000000"/>
              <w:left w:val="single" w:sz="4" w:space="0" w:color="000000"/>
              <w:bottom w:val="single" w:sz="4" w:space="0" w:color="000000"/>
              <w:right w:val="single" w:sz="4" w:space="0" w:color="auto"/>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 xml:space="preserve">Врожденные аномалии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14,4</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14,5</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13,4</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0,8</w:t>
            </w:r>
          </w:p>
        </w:tc>
      </w:tr>
      <w:tr w:rsidR="00E74F8F" w:rsidRPr="00E74F8F" w:rsidTr="00E74F8F">
        <w:trPr>
          <w:trHeight w:val="297"/>
          <w:jc w:val="center"/>
        </w:trPr>
        <w:tc>
          <w:tcPr>
            <w:tcW w:w="5245" w:type="dxa"/>
            <w:tcBorders>
              <w:top w:val="single" w:sz="4" w:space="0" w:color="000000"/>
              <w:left w:val="single" w:sz="4" w:space="0" w:color="000000"/>
              <w:bottom w:val="single" w:sz="4" w:space="0" w:color="000000"/>
              <w:right w:val="single" w:sz="4" w:space="0" w:color="auto"/>
            </w:tcBorders>
            <w:vAlign w:val="center"/>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 xml:space="preserve">Болезни крови и кроветворных органов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8,4</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9,1</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8,8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0,5</w:t>
            </w:r>
          </w:p>
        </w:tc>
      </w:tr>
      <w:tr w:rsidR="00E74F8F" w:rsidRPr="00E74F8F" w:rsidTr="00E74F8F">
        <w:trPr>
          <w:trHeight w:val="141"/>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в том числе анемии</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7,8</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8,6</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8,2</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0,5</w:t>
            </w:r>
          </w:p>
        </w:tc>
      </w:tr>
      <w:tr w:rsidR="00E74F8F" w:rsidRPr="00E74F8F" w:rsidTr="00E74F8F">
        <w:trPr>
          <w:trHeight w:val="310"/>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Психические расстройства</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51,1</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49,3</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48,6</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2,9</w:t>
            </w:r>
          </w:p>
        </w:tc>
      </w:tr>
      <w:tr w:rsidR="00E74F8F" w:rsidRPr="00E74F8F" w:rsidTr="00E74F8F">
        <w:trPr>
          <w:trHeight w:val="297"/>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 xml:space="preserve">Болезни нервной системы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97,6</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98,4</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90,6</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5,4</w:t>
            </w:r>
          </w:p>
        </w:tc>
      </w:tr>
      <w:tr w:rsidR="00E74F8F" w:rsidRPr="00E74F8F" w:rsidTr="00E74F8F">
        <w:trPr>
          <w:trHeight w:val="141"/>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 xml:space="preserve">в </w:t>
            </w:r>
            <w:proofErr w:type="spellStart"/>
            <w:r w:rsidRPr="00E74F8F">
              <w:rPr>
                <w:rFonts w:ascii="Times New Roman" w:hAnsi="Times New Roman" w:cs="Times New Roman"/>
                <w:bCs/>
              </w:rPr>
              <w:t>т.ч</w:t>
            </w:r>
            <w:proofErr w:type="spellEnd"/>
            <w:r w:rsidRPr="00E74F8F">
              <w:rPr>
                <w:rFonts w:ascii="Times New Roman" w:hAnsi="Times New Roman" w:cs="Times New Roman"/>
                <w:bCs/>
              </w:rPr>
              <w:t xml:space="preserve">. ДЦП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3,7</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3,8</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0,2</w:t>
            </w:r>
          </w:p>
        </w:tc>
      </w:tr>
      <w:tr w:rsidR="00E74F8F" w:rsidRPr="00E74F8F" w:rsidTr="00E74F8F">
        <w:trPr>
          <w:trHeight w:val="297"/>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 xml:space="preserve">Болезни глаза и его придатков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141,4</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145,2</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136,0</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8,2</w:t>
            </w:r>
          </w:p>
        </w:tc>
      </w:tr>
      <w:tr w:rsidR="00E74F8F" w:rsidRPr="00E74F8F" w:rsidTr="00E74F8F">
        <w:trPr>
          <w:trHeight w:val="297"/>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 xml:space="preserve">Болезни уха и сосцевидного отростка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33,9</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35,2</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33,4</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2,0</w:t>
            </w:r>
          </w:p>
        </w:tc>
      </w:tr>
      <w:tr w:rsidR="00E74F8F" w:rsidRPr="00E74F8F" w:rsidTr="00E74F8F">
        <w:trPr>
          <w:trHeight w:val="297"/>
          <w:jc w:val="center"/>
        </w:trPr>
        <w:tc>
          <w:tcPr>
            <w:tcW w:w="5245"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 xml:space="preserve">Болезни системы кровообращения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32,8</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31,5</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27,8</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1,7</w:t>
            </w:r>
          </w:p>
        </w:tc>
      </w:tr>
      <w:tr w:rsidR="00E74F8F" w:rsidRPr="00E74F8F" w:rsidTr="00E74F8F">
        <w:trPr>
          <w:trHeight w:val="155"/>
          <w:jc w:val="center"/>
        </w:trPr>
        <w:tc>
          <w:tcPr>
            <w:tcW w:w="5245" w:type="dxa"/>
            <w:tcBorders>
              <w:top w:val="single" w:sz="4" w:space="0" w:color="000000"/>
              <w:left w:val="single" w:sz="4" w:space="0" w:color="000000"/>
              <w:bottom w:val="single" w:sz="4" w:space="0" w:color="auto"/>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 xml:space="preserve">Болезни кожи </w:t>
            </w:r>
          </w:p>
        </w:tc>
        <w:tc>
          <w:tcPr>
            <w:tcW w:w="993" w:type="dxa"/>
            <w:tcBorders>
              <w:top w:val="nil"/>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87,0</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91,9</w:t>
            </w:r>
          </w:p>
        </w:tc>
        <w:tc>
          <w:tcPr>
            <w:tcW w:w="993"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85,9</w:t>
            </w:r>
          </w:p>
        </w:tc>
        <w:tc>
          <w:tcPr>
            <w:tcW w:w="1418" w:type="dxa"/>
            <w:tcBorders>
              <w:top w:val="nil"/>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5,2</w:t>
            </w:r>
          </w:p>
        </w:tc>
      </w:tr>
      <w:tr w:rsidR="00E74F8F" w:rsidRPr="00E74F8F" w:rsidTr="00E74F8F">
        <w:trPr>
          <w:trHeight w:val="310"/>
          <w:jc w:val="center"/>
        </w:trPr>
        <w:tc>
          <w:tcPr>
            <w:tcW w:w="5245" w:type="dxa"/>
            <w:tcBorders>
              <w:top w:val="single" w:sz="4" w:space="0" w:color="auto"/>
              <w:left w:val="single" w:sz="4" w:space="0" w:color="auto"/>
              <w:bottom w:val="single" w:sz="4" w:space="0" w:color="auto"/>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rPr>
              <w:t>Травмы и отравления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178,6</w:t>
            </w:r>
          </w:p>
        </w:tc>
        <w:tc>
          <w:tcPr>
            <w:tcW w:w="993"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176,8</w:t>
            </w:r>
          </w:p>
        </w:tc>
        <w:tc>
          <w:tcPr>
            <w:tcW w:w="993"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color w:val="000000"/>
              </w:rPr>
              <w:t>165,2</w:t>
            </w:r>
          </w:p>
        </w:tc>
        <w:tc>
          <w:tcPr>
            <w:tcW w:w="1418"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lang w:eastAsia="zh-CN"/>
              </w:rPr>
            </w:pPr>
            <w:r w:rsidRPr="00E74F8F">
              <w:rPr>
                <w:rFonts w:ascii="Times New Roman" w:hAnsi="Times New Roman" w:cs="Times New Roman"/>
                <w:color w:val="000000"/>
              </w:rPr>
              <w:t>9,9</w:t>
            </w:r>
          </w:p>
        </w:tc>
      </w:tr>
      <w:tr w:rsidR="00E74F8F" w:rsidRPr="00E74F8F" w:rsidTr="00E74F8F">
        <w:trPr>
          <w:trHeight w:val="310"/>
          <w:jc w:val="center"/>
        </w:trPr>
        <w:tc>
          <w:tcPr>
            <w:tcW w:w="5245" w:type="dxa"/>
            <w:tcBorders>
              <w:top w:val="single" w:sz="4" w:space="0" w:color="auto"/>
              <w:left w:val="single" w:sz="4" w:space="0" w:color="auto"/>
              <w:bottom w:val="single" w:sz="4" w:space="0" w:color="auto"/>
              <w:right w:val="nil"/>
            </w:tcBorders>
            <w:vAlign w:val="center"/>
            <w:hideMark/>
          </w:tcPr>
          <w:p w:rsidR="00E74F8F" w:rsidRPr="00E74F8F" w:rsidRDefault="00E74F8F">
            <w:pPr>
              <w:suppressAutoHyphens/>
              <w:rPr>
                <w:rFonts w:ascii="Times New Roman" w:hAnsi="Times New Roman" w:cs="Times New Roman"/>
                <w:bCs/>
                <w:sz w:val="24"/>
                <w:szCs w:val="24"/>
                <w:lang w:val="en-US" w:eastAsia="zh-CN"/>
              </w:rPr>
            </w:pPr>
            <w:r w:rsidRPr="00E74F8F">
              <w:rPr>
                <w:rFonts w:ascii="Times New Roman" w:hAnsi="Times New Roman" w:cs="Times New Roman"/>
                <w:bCs/>
                <w:lang w:val="en-US"/>
              </w:rPr>
              <w:lastRenderedPageBreak/>
              <w:t>COVID-19</w:t>
            </w:r>
          </w:p>
        </w:tc>
        <w:tc>
          <w:tcPr>
            <w:tcW w:w="993" w:type="dxa"/>
            <w:tcBorders>
              <w:top w:val="single" w:sz="4" w:space="0" w:color="auto"/>
              <w:left w:val="single" w:sz="4" w:space="0" w:color="auto"/>
              <w:bottom w:val="single" w:sz="4" w:space="0" w:color="auto"/>
              <w:right w:val="single" w:sz="4" w:space="0" w:color="auto"/>
            </w:tcBorders>
            <w:vAlign w:val="center"/>
          </w:tcPr>
          <w:p w:rsidR="00E74F8F" w:rsidRPr="00E74F8F" w:rsidRDefault="00E74F8F">
            <w:pPr>
              <w:suppressAutoHyphens/>
              <w:jc w:val="center"/>
              <w:rPr>
                <w:rFonts w:ascii="Times New Roman" w:hAnsi="Times New Roman" w:cs="Times New Roman"/>
                <w:color w:val="000000"/>
                <w:sz w:val="24"/>
                <w:szCs w:val="24"/>
                <w:lang w:eastAsia="zh-CN"/>
              </w:rPr>
            </w:pPr>
          </w:p>
        </w:tc>
        <w:tc>
          <w:tcPr>
            <w:tcW w:w="993" w:type="dxa"/>
            <w:tcBorders>
              <w:top w:val="single" w:sz="4" w:space="0" w:color="auto"/>
              <w:left w:val="nil"/>
              <w:bottom w:val="single" w:sz="4" w:space="0" w:color="auto"/>
              <w:right w:val="single" w:sz="4" w:space="0" w:color="auto"/>
            </w:tcBorders>
            <w:vAlign w:val="center"/>
          </w:tcPr>
          <w:p w:rsidR="00E74F8F" w:rsidRPr="00E74F8F" w:rsidRDefault="00E74F8F">
            <w:pPr>
              <w:suppressAutoHyphens/>
              <w:jc w:val="center"/>
              <w:rPr>
                <w:rFonts w:ascii="Times New Roman" w:hAnsi="Times New Roman" w:cs="Times New Roman"/>
                <w:color w:val="000000"/>
                <w:sz w:val="24"/>
                <w:szCs w:val="24"/>
                <w:lang w:eastAsia="zh-CN"/>
              </w:rPr>
            </w:pPr>
          </w:p>
        </w:tc>
        <w:tc>
          <w:tcPr>
            <w:tcW w:w="993"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sz w:val="24"/>
                <w:szCs w:val="24"/>
                <w:lang w:eastAsia="zh-CN"/>
              </w:rPr>
            </w:pPr>
            <w:r w:rsidRPr="00E74F8F">
              <w:rPr>
                <w:rFonts w:ascii="Times New Roman" w:hAnsi="Times New Roman" w:cs="Times New Roman"/>
                <w:color w:val="000000"/>
                <w:lang w:val="en-US"/>
              </w:rPr>
              <w:t>9</w:t>
            </w:r>
            <w:r w:rsidRPr="00E74F8F">
              <w:rPr>
                <w:rFonts w:ascii="Times New Roman" w:hAnsi="Times New Roman" w:cs="Times New Roman"/>
                <w:color w:val="000000"/>
              </w:rPr>
              <w:t>,5</w:t>
            </w:r>
          </w:p>
        </w:tc>
        <w:tc>
          <w:tcPr>
            <w:tcW w:w="1418" w:type="dxa"/>
            <w:tcBorders>
              <w:top w:val="single" w:sz="4" w:space="0" w:color="auto"/>
              <w:left w:val="nil"/>
              <w:bottom w:val="single" w:sz="4" w:space="0" w:color="auto"/>
              <w:right w:val="single" w:sz="4" w:space="0" w:color="auto"/>
            </w:tcBorders>
            <w:vAlign w:val="center"/>
            <w:hideMark/>
          </w:tcPr>
          <w:p w:rsidR="00E74F8F" w:rsidRPr="00E74F8F" w:rsidRDefault="00E74F8F">
            <w:pPr>
              <w:suppressAutoHyphens/>
              <w:jc w:val="center"/>
              <w:rPr>
                <w:rFonts w:ascii="Times New Roman" w:hAnsi="Times New Roman" w:cs="Times New Roman"/>
                <w:color w:val="000000"/>
                <w:sz w:val="24"/>
                <w:szCs w:val="24"/>
                <w:lang w:eastAsia="zh-CN"/>
              </w:rPr>
            </w:pPr>
            <w:r w:rsidRPr="00E74F8F">
              <w:rPr>
                <w:rFonts w:ascii="Times New Roman" w:hAnsi="Times New Roman" w:cs="Times New Roman"/>
                <w:color w:val="000000"/>
              </w:rPr>
              <w:t>0,6</w:t>
            </w:r>
          </w:p>
        </w:tc>
      </w:tr>
    </w:tbl>
    <w:p w:rsidR="00E74F8F" w:rsidRPr="00E74F8F" w:rsidRDefault="00E74F8F" w:rsidP="00E74F8F">
      <w:pPr>
        <w:ind w:firstLine="567"/>
        <w:jc w:val="both"/>
        <w:rPr>
          <w:rFonts w:ascii="Times New Roman" w:hAnsi="Times New Roman" w:cs="Times New Roman"/>
          <w:lang w:eastAsia="zh-CN"/>
        </w:rPr>
      </w:pPr>
    </w:p>
    <w:p w:rsidR="00E74F8F" w:rsidRPr="00E74F8F" w:rsidRDefault="00E74F8F" w:rsidP="00E74F8F">
      <w:pPr>
        <w:spacing w:after="0" w:line="240" w:lineRule="auto"/>
        <w:ind w:firstLine="567"/>
        <w:jc w:val="both"/>
        <w:rPr>
          <w:rFonts w:ascii="Times New Roman" w:hAnsi="Times New Roman" w:cs="Times New Roman"/>
        </w:rPr>
      </w:pPr>
      <w:proofErr w:type="gramStart"/>
      <w:r w:rsidRPr="00E74F8F">
        <w:rPr>
          <w:rFonts w:ascii="Times New Roman" w:hAnsi="Times New Roman" w:cs="Times New Roman"/>
        </w:rPr>
        <w:t xml:space="preserve">Структура заболеваемости подростков в 2020 году выглядит следующим образом: болезни органов дыхания – 35,9%, болезни органов пищеварения – 10,1%, травмы, отравления и некоторые другие последствия воздействия внешних причин – 9,9%, болезни глаза и его придаточного аппарата – 8,2%, болезни костно-мышечной и соединительной ткани – 7,5%, болезни нервной системы – 5,4%, болезни кожи и подкожной клетчатки – 5,2%. </w:t>
      </w:r>
      <w:r w:rsidRPr="004B6E85">
        <w:rPr>
          <w:rFonts w:ascii="Times New Roman" w:hAnsi="Times New Roman" w:cs="Times New Roman"/>
        </w:rPr>
        <w:t>(диаграмма 2).</w:t>
      </w:r>
      <w:r w:rsidRPr="00E74F8F">
        <w:rPr>
          <w:rFonts w:ascii="Times New Roman" w:hAnsi="Times New Roman" w:cs="Times New Roman"/>
        </w:rPr>
        <w:t xml:space="preserve">              </w:t>
      </w:r>
      <w:proofErr w:type="gramEnd"/>
    </w:p>
    <w:p w:rsidR="00E74F8F" w:rsidRPr="00E74F8F" w:rsidRDefault="00E74F8F" w:rsidP="00E74F8F">
      <w:pPr>
        <w:spacing w:after="0" w:line="240" w:lineRule="auto"/>
        <w:ind w:firstLine="567"/>
        <w:jc w:val="both"/>
        <w:rPr>
          <w:rFonts w:ascii="Times New Roman" w:hAnsi="Times New Roman" w:cs="Times New Roman"/>
        </w:rPr>
      </w:pPr>
      <w:r w:rsidRPr="00E74F8F">
        <w:rPr>
          <w:rFonts w:ascii="Times New Roman" w:hAnsi="Times New Roman" w:cs="Times New Roman"/>
        </w:rPr>
        <w:t xml:space="preserve">Образование родителей и детей является необходимой составной частью комплексной программы лечения детей с бронхиальной астмой, сахарным диабетом, патологией органов пищеварения. </w:t>
      </w:r>
      <w:proofErr w:type="gramStart"/>
      <w:r w:rsidRPr="00E74F8F">
        <w:rPr>
          <w:rFonts w:ascii="Times New Roman" w:hAnsi="Times New Roman" w:cs="Times New Roman"/>
        </w:rPr>
        <w:t>На базе ГУЗ «Областная детская больница» продолжают свою работу</w:t>
      </w:r>
      <w:r w:rsidRPr="00E74F8F">
        <w:rPr>
          <w:rFonts w:ascii="Times New Roman" w:hAnsi="Times New Roman" w:cs="Times New Roman"/>
          <w:b/>
        </w:rPr>
        <w:t xml:space="preserve"> </w:t>
      </w:r>
      <w:r w:rsidRPr="00E74F8F">
        <w:rPr>
          <w:rFonts w:ascii="Times New Roman" w:hAnsi="Times New Roman" w:cs="Times New Roman"/>
        </w:rPr>
        <w:t>школа «Диабета», «</w:t>
      </w:r>
      <w:proofErr w:type="spellStart"/>
      <w:r w:rsidRPr="00E74F8F">
        <w:rPr>
          <w:rFonts w:ascii="Times New Roman" w:hAnsi="Times New Roman" w:cs="Times New Roman"/>
        </w:rPr>
        <w:t>Аллерго</w:t>
      </w:r>
      <w:proofErr w:type="spellEnd"/>
      <w:r w:rsidRPr="00E74F8F">
        <w:rPr>
          <w:rFonts w:ascii="Times New Roman" w:hAnsi="Times New Roman" w:cs="Times New Roman"/>
        </w:rPr>
        <w:t xml:space="preserve"> - школа», «</w:t>
      </w:r>
      <w:proofErr w:type="spellStart"/>
      <w:r w:rsidRPr="00E74F8F">
        <w:rPr>
          <w:rFonts w:ascii="Times New Roman" w:hAnsi="Times New Roman" w:cs="Times New Roman"/>
        </w:rPr>
        <w:t>Гастро</w:t>
      </w:r>
      <w:proofErr w:type="spellEnd"/>
      <w:r w:rsidRPr="00E74F8F">
        <w:rPr>
          <w:rFonts w:ascii="Times New Roman" w:hAnsi="Times New Roman" w:cs="Times New Roman"/>
        </w:rPr>
        <w:t xml:space="preserve"> - школа», школа «Здоровое сердце», школы «Здоровья» и «Матерей», «</w:t>
      </w:r>
      <w:proofErr w:type="spellStart"/>
      <w:r w:rsidRPr="00E74F8F">
        <w:rPr>
          <w:rFonts w:ascii="Times New Roman" w:hAnsi="Times New Roman" w:cs="Times New Roman"/>
        </w:rPr>
        <w:t>Ортошкола</w:t>
      </w:r>
      <w:proofErr w:type="spellEnd"/>
      <w:r w:rsidRPr="00E74F8F">
        <w:rPr>
          <w:rFonts w:ascii="Times New Roman" w:hAnsi="Times New Roman" w:cs="Times New Roman"/>
        </w:rPr>
        <w:t xml:space="preserve">».  </w:t>
      </w:r>
      <w:proofErr w:type="gramEnd"/>
    </w:p>
    <w:p w:rsidR="00E74F8F" w:rsidRPr="00E74F8F" w:rsidRDefault="00E74F8F" w:rsidP="00E74F8F">
      <w:pPr>
        <w:spacing w:after="0" w:line="240" w:lineRule="auto"/>
        <w:ind w:firstLine="567"/>
        <w:jc w:val="both"/>
        <w:rPr>
          <w:rFonts w:ascii="Times New Roman" w:hAnsi="Times New Roman" w:cs="Times New Roman"/>
        </w:rPr>
      </w:pPr>
      <w:r w:rsidRPr="00E74F8F">
        <w:rPr>
          <w:rFonts w:ascii="Times New Roman" w:hAnsi="Times New Roman" w:cs="Times New Roman"/>
        </w:rPr>
        <w:t>За 2020 год в школе «Диабета» обучен 310 детей с сахарным диабетом. Все дети совместно с родителями обучались принципам диетотерапии, инсулинотерапии, самоконтроля. Школа диабета оснащена методической литературой, имеется обучающая компьютерная программа;</w:t>
      </w:r>
    </w:p>
    <w:p w:rsidR="00E74F8F" w:rsidRPr="00E74F8F" w:rsidRDefault="00E74F8F" w:rsidP="00E74F8F">
      <w:pPr>
        <w:spacing w:after="0" w:line="240" w:lineRule="auto"/>
        <w:ind w:firstLine="567"/>
        <w:jc w:val="both"/>
        <w:rPr>
          <w:rFonts w:ascii="Times New Roman" w:hAnsi="Times New Roman" w:cs="Times New Roman"/>
        </w:rPr>
      </w:pPr>
      <w:r w:rsidRPr="00E74F8F">
        <w:rPr>
          <w:rFonts w:ascii="Times New Roman" w:hAnsi="Times New Roman" w:cs="Times New Roman"/>
        </w:rPr>
        <w:t>В «</w:t>
      </w:r>
      <w:proofErr w:type="spellStart"/>
      <w:r w:rsidRPr="00E74F8F">
        <w:rPr>
          <w:rFonts w:ascii="Times New Roman" w:hAnsi="Times New Roman" w:cs="Times New Roman"/>
        </w:rPr>
        <w:t>Аллерго</w:t>
      </w:r>
      <w:proofErr w:type="spellEnd"/>
      <w:r w:rsidRPr="00E74F8F">
        <w:rPr>
          <w:rFonts w:ascii="Times New Roman" w:hAnsi="Times New Roman" w:cs="Times New Roman"/>
        </w:rPr>
        <w:t xml:space="preserve"> - школе» разработаны и используются образовательные программы, цель которых обучить больных детей и их родителей навыкам самоконтроля и оказания первой помощи при развитии острых аллергических реакций или обострений заболевания, обучение прошли 232 ребенка.</w:t>
      </w:r>
    </w:p>
    <w:p w:rsidR="00E74F8F" w:rsidRPr="00E74F8F" w:rsidRDefault="00E74F8F" w:rsidP="00E74F8F">
      <w:pPr>
        <w:spacing w:after="0" w:line="240" w:lineRule="auto"/>
        <w:ind w:firstLine="567"/>
        <w:rPr>
          <w:rFonts w:ascii="Times New Roman" w:hAnsi="Times New Roman" w:cs="Times New Roman"/>
        </w:rPr>
      </w:pPr>
      <w:r w:rsidRPr="00E74F8F">
        <w:rPr>
          <w:rFonts w:ascii="Times New Roman" w:hAnsi="Times New Roman" w:cs="Times New Roman"/>
        </w:rPr>
        <w:t>В «</w:t>
      </w:r>
      <w:proofErr w:type="spellStart"/>
      <w:r w:rsidRPr="00E74F8F">
        <w:rPr>
          <w:rFonts w:ascii="Times New Roman" w:hAnsi="Times New Roman" w:cs="Times New Roman"/>
        </w:rPr>
        <w:t>Гастро</w:t>
      </w:r>
      <w:proofErr w:type="spellEnd"/>
      <w:r w:rsidRPr="00E74F8F">
        <w:rPr>
          <w:rFonts w:ascii="Times New Roman" w:hAnsi="Times New Roman" w:cs="Times New Roman"/>
        </w:rPr>
        <w:t xml:space="preserve"> - школе» проводится </w:t>
      </w:r>
      <w:proofErr w:type="spellStart"/>
      <w:r w:rsidRPr="00E74F8F">
        <w:rPr>
          <w:rFonts w:ascii="Times New Roman" w:hAnsi="Times New Roman" w:cs="Times New Roman"/>
        </w:rPr>
        <w:t>программно</w:t>
      </w:r>
      <w:proofErr w:type="spellEnd"/>
      <w:r w:rsidRPr="00E74F8F">
        <w:rPr>
          <w:rFonts w:ascii="Times New Roman" w:hAnsi="Times New Roman" w:cs="Times New Roman"/>
        </w:rPr>
        <w:t xml:space="preserve"> – целевое обучение детей, страдающих гастроэнтерологической патологией, их родителей по разработанным темам.  За 2020 год прошли обучение   289 детей. В школе «Здоровое сердце» обучено 312 детей. В школах  обучено  в школах «Матерей» - 435 человек. В «</w:t>
      </w:r>
      <w:proofErr w:type="spellStart"/>
      <w:r w:rsidRPr="00E74F8F">
        <w:rPr>
          <w:rFonts w:ascii="Times New Roman" w:hAnsi="Times New Roman" w:cs="Times New Roman"/>
        </w:rPr>
        <w:t>Ортошколе</w:t>
      </w:r>
      <w:proofErr w:type="spellEnd"/>
      <w:r w:rsidRPr="00E74F8F">
        <w:rPr>
          <w:rFonts w:ascii="Times New Roman" w:hAnsi="Times New Roman" w:cs="Times New Roman"/>
        </w:rPr>
        <w:t>» обучено 197 детей.</w:t>
      </w:r>
    </w:p>
    <w:p w:rsidR="00E74F8F" w:rsidRPr="00E74F8F" w:rsidRDefault="00E74F8F" w:rsidP="00E74F8F">
      <w:pPr>
        <w:jc w:val="center"/>
        <w:rPr>
          <w:rFonts w:ascii="Times New Roman" w:hAnsi="Times New Roman" w:cs="Times New Roman"/>
          <w:b/>
        </w:rPr>
      </w:pPr>
    </w:p>
    <w:p w:rsidR="00E74F8F" w:rsidRPr="00E74F8F" w:rsidRDefault="00E74F8F" w:rsidP="00E74F8F">
      <w:pPr>
        <w:jc w:val="center"/>
        <w:rPr>
          <w:rFonts w:ascii="Times New Roman" w:hAnsi="Times New Roman" w:cs="Times New Roman"/>
          <w:b/>
        </w:rPr>
      </w:pPr>
      <w:r w:rsidRPr="00E74F8F">
        <w:rPr>
          <w:rFonts w:ascii="Times New Roman" w:hAnsi="Times New Roman" w:cs="Times New Roman"/>
          <w:b/>
        </w:rPr>
        <w:t xml:space="preserve">Заболеваемость детей в возрасте 15-17 лет психическими расстройствами </w:t>
      </w:r>
    </w:p>
    <w:p w:rsidR="00E74F8F" w:rsidRPr="00E74F8F" w:rsidRDefault="00E74F8F" w:rsidP="00E74F8F">
      <w:pPr>
        <w:jc w:val="center"/>
        <w:rPr>
          <w:rFonts w:ascii="Times New Roman" w:hAnsi="Times New Roman" w:cs="Times New Roman"/>
          <w:b/>
        </w:rPr>
      </w:pPr>
      <w:r w:rsidRPr="00E74F8F">
        <w:rPr>
          <w:rFonts w:ascii="Times New Roman" w:hAnsi="Times New Roman" w:cs="Times New Roman"/>
          <w:b/>
        </w:rPr>
        <w:t>и расстройствами поведения</w:t>
      </w:r>
    </w:p>
    <w:p w:rsidR="00E74F8F" w:rsidRPr="00E74F8F" w:rsidRDefault="00E74F8F" w:rsidP="00E74F8F">
      <w:pPr>
        <w:jc w:val="center"/>
        <w:rPr>
          <w:rFonts w:ascii="Times New Roman" w:hAnsi="Times New Roman" w:cs="Times New Roman"/>
        </w:rPr>
      </w:pPr>
    </w:p>
    <w:tbl>
      <w:tblPr>
        <w:tblW w:w="9585" w:type="dxa"/>
        <w:tblInd w:w="-5" w:type="dxa"/>
        <w:tblLayout w:type="fixed"/>
        <w:tblLook w:val="04A0" w:firstRow="1" w:lastRow="0" w:firstColumn="1" w:lastColumn="0" w:noHBand="0" w:noVBand="1"/>
      </w:tblPr>
      <w:tblGrid>
        <w:gridCol w:w="4004"/>
        <w:gridCol w:w="1388"/>
        <w:gridCol w:w="1277"/>
        <w:gridCol w:w="1421"/>
        <w:gridCol w:w="1495"/>
      </w:tblGrid>
      <w:tr w:rsidR="00E74F8F" w:rsidRPr="00E74F8F" w:rsidTr="00E74F8F">
        <w:trPr>
          <w:trHeight w:val="1042"/>
        </w:trPr>
        <w:tc>
          <w:tcPr>
            <w:tcW w:w="4003" w:type="dxa"/>
            <w:tcBorders>
              <w:top w:val="single" w:sz="4" w:space="0" w:color="000000"/>
              <w:left w:val="single" w:sz="4" w:space="0" w:color="000000"/>
              <w:bottom w:val="single" w:sz="4" w:space="0" w:color="000000"/>
              <w:right w:val="nil"/>
            </w:tcBorders>
          </w:tcPr>
          <w:p w:rsidR="00E74F8F" w:rsidRPr="00E74F8F" w:rsidRDefault="00E74F8F">
            <w:pPr>
              <w:suppressAutoHyphens/>
              <w:snapToGrid w:val="0"/>
              <w:rPr>
                <w:rFonts w:ascii="Times New Roman" w:hAnsi="Times New Roman" w:cs="Times New Roman"/>
                <w:sz w:val="24"/>
                <w:szCs w:val="24"/>
                <w:lang w:eastAsia="zh-CN"/>
              </w:rPr>
            </w:pPr>
          </w:p>
        </w:tc>
        <w:tc>
          <w:tcPr>
            <w:tcW w:w="1388" w:type="dxa"/>
            <w:tcBorders>
              <w:top w:val="single" w:sz="4" w:space="0" w:color="000000"/>
              <w:left w:val="single" w:sz="4" w:space="0" w:color="000000"/>
              <w:bottom w:val="single" w:sz="4" w:space="0" w:color="000000"/>
              <w:right w:val="single" w:sz="4" w:space="0" w:color="000000"/>
            </w:tcBorders>
          </w:tcPr>
          <w:p w:rsidR="00E74F8F" w:rsidRPr="00E74F8F" w:rsidRDefault="00E74F8F">
            <w:pPr>
              <w:jc w:val="center"/>
              <w:rPr>
                <w:rFonts w:ascii="Times New Roman" w:hAnsi="Times New Roman" w:cs="Times New Roman"/>
                <w:sz w:val="24"/>
                <w:szCs w:val="24"/>
                <w:lang w:eastAsia="zh-CN"/>
              </w:rPr>
            </w:pPr>
          </w:p>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1276" w:type="dxa"/>
            <w:tcBorders>
              <w:top w:val="single" w:sz="4" w:space="0" w:color="000000"/>
              <w:left w:val="single" w:sz="4" w:space="0" w:color="000000"/>
              <w:bottom w:val="single" w:sz="4" w:space="0" w:color="000000"/>
              <w:right w:val="single" w:sz="4" w:space="0" w:color="000000"/>
            </w:tcBorders>
          </w:tcPr>
          <w:p w:rsidR="00E74F8F" w:rsidRPr="00E74F8F" w:rsidRDefault="00E74F8F">
            <w:pPr>
              <w:jc w:val="center"/>
              <w:rPr>
                <w:rFonts w:ascii="Times New Roman" w:hAnsi="Times New Roman" w:cs="Times New Roman"/>
                <w:sz w:val="24"/>
                <w:szCs w:val="24"/>
                <w:lang w:eastAsia="zh-CN"/>
              </w:rPr>
            </w:pPr>
          </w:p>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1420" w:type="dxa"/>
            <w:tcBorders>
              <w:top w:val="single" w:sz="4" w:space="0" w:color="000000"/>
              <w:left w:val="single" w:sz="4" w:space="0" w:color="000000"/>
              <w:bottom w:val="single" w:sz="4" w:space="0" w:color="000000"/>
              <w:right w:val="single" w:sz="4" w:space="0" w:color="000000"/>
            </w:tcBorders>
          </w:tcPr>
          <w:p w:rsidR="00E74F8F" w:rsidRPr="00E74F8F" w:rsidRDefault="00E74F8F">
            <w:pPr>
              <w:jc w:val="center"/>
              <w:rPr>
                <w:rFonts w:ascii="Times New Roman" w:hAnsi="Times New Roman" w:cs="Times New Roman"/>
                <w:sz w:val="24"/>
                <w:szCs w:val="24"/>
                <w:lang w:eastAsia="zh-CN"/>
              </w:rPr>
            </w:pPr>
          </w:p>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c>
          <w:tcPr>
            <w:tcW w:w="1494"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Темп  прироста (снижение</w:t>
            </w:r>
            <w:proofErr w:type="gramStart"/>
            <w:r w:rsidRPr="00E74F8F">
              <w:rPr>
                <w:rFonts w:ascii="Times New Roman" w:hAnsi="Times New Roman" w:cs="Times New Roman"/>
              </w:rPr>
              <w:t>) (%)</w:t>
            </w:r>
            <w:proofErr w:type="gramEnd"/>
          </w:p>
        </w:tc>
      </w:tr>
      <w:tr w:rsidR="00E74F8F" w:rsidRPr="00E74F8F" w:rsidTr="00E74F8F">
        <w:trPr>
          <w:trHeight w:val="1105"/>
        </w:trPr>
        <w:tc>
          <w:tcPr>
            <w:tcW w:w="4003" w:type="dxa"/>
            <w:tcBorders>
              <w:top w:val="single" w:sz="4" w:space="0" w:color="000000"/>
              <w:left w:val="single" w:sz="4" w:space="0" w:color="000000"/>
              <w:bottom w:val="nil"/>
              <w:right w:val="nil"/>
            </w:tcBorders>
            <w:hideMark/>
          </w:tcPr>
          <w:p w:rsidR="00E74F8F" w:rsidRPr="00E74F8F" w:rsidRDefault="00E74F8F">
            <w:pPr>
              <w:rPr>
                <w:rFonts w:ascii="Times New Roman" w:hAnsi="Times New Roman" w:cs="Times New Roman"/>
                <w:sz w:val="24"/>
                <w:szCs w:val="24"/>
                <w:lang w:eastAsia="zh-CN"/>
              </w:rPr>
            </w:pPr>
            <w:r w:rsidRPr="00E74F8F">
              <w:rPr>
                <w:rFonts w:ascii="Times New Roman" w:hAnsi="Times New Roman" w:cs="Times New Roman"/>
              </w:rPr>
              <w:t>Взято под наблюдение больных  с диагнозом, установленным впервые в жизни:</w:t>
            </w:r>
          </w:p>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всего, человек</w:t>
            </w:r>
          </w:p>
        </w:tc>
        <w:tc>
          <w:tcPr>
            <w:tcW w:w="1388"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21</w:t>
            </w:r>
          </w:p>
        </w:tc>
        <w:tc>
          <w:tcPr>
            <w:tcW w:w="1276"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highlight w:val="yellow"/>
                <w:lang w:eastAsia="zh-CN"/>
              </w:rPr>
            </w:pPr>
            <w:r w:rsidRPr="00E74F8F">
              <w:rPr>
                <w:rFonts w:ascii="Times New Roman" w:hAnsi="Times New Roman" w:cs="Times New Roman"/>
              </w:rPr>
              <w:t>17</w:t>
            </w:r>
          </w:p>
        </w:tc>
        <w:tc>
          <w:tcPr>
            <w:tcW w:w="1420"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14</w:t>
            </w:r>
          </w:p>
        </w:tc>
        <w:tc>
          <w:tcPr>
            <w:tcW w:w="1494"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-17,6</w:t>
            </w:r>
          </w:p>
        </w:tc>
      </w:tr>
      <w:tr w:rsidR="00E74F8F" w:rsidRPr="00E74F8F" w:rsidTr="00E74F8F">
        <w:trPr>
          <w:trHeight w:val="271"/>
        </w:trPr>
        <w:tc>
          <w:tcPr>
            <w:tcW w:w="4003"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на 100 000 детей в возрасте 15-17 лет</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67,4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53,3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42,3</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-20,6</w:t>
            </w:r>
          </w:p>
        </w:tc>
      </w:tr>
      <w:tr w:rsidR="00E74F8F" w:rsidRPr="00E74F8F" w:rsidTr="00E74F8F">
        <w:trPr>
          <w:trHeight w:val="271"/>
        </w:trPr>
        <w:tc>
          <w:tcPr>
            <w:tcW w:w="4003"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 xml:space="preserve"> из них с диагнозом:</w:t>
            </w:r>
          </w:p>
        </w:tc>
        <w:tc>
          <w:tcPr>
            <w:tcW w:w="1388" w:type="dxa"/>
            <w:tcBorders>
              <w:top w:val="single" w:sz="4" w:space="0" w:color="000000"/>
              <w:left w:val="single" w:sz="4" w:space="0" w:color="000000"/>
              <w:bottom w:val="single" w:sz="4" w:space="0" w:color="000000"/>
              <w:right w:val="single" w:sz="4" w:space="0" w:color="000000"/>
            </w:tcBorders>
            <w:vAlign w:val="center"/>
          </w:tcPr>
          <w:p w:rsidR="00E74F8F" w:rsidRPr="00E74F8F" w:rsidRDefault="00E74F8F">
            <w:pPr>
              <w:suppressAutoHyphens/>
              <w:snapToGrid w:val="0"/>
              <w:jc w:val="center"/>
              <w:rPr>
                <w:rFonts w:ascii="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74F8F" w:rsidRPr="00E74F8F" w:rsidRDefault="00E74F8F">
            <w:pPr>
              <w:suppressAutoHyphens/>
              <w:snapToGrid w:val="0"/>
              <w:jc w:val="center"/>
              <w:rPr>
                <w:rFonts w:ascii="Times New Roman" w:hAnsi="Times New Roman" w:cs="Times New Roman"/>
                <w:sz w:val="24"/>
                <w:szCs w:val="24"/>
                <w:lang w:eastAsia="zh-CN"/>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E74F8F" w:rsidRPr="00E74F8F" w:rsidRDefault="00E74F8F">
            <w:pPr>
              <w:suppressAutoHyphens/>
              <w:snapToGrid w:val="0"/>
              <w:jc w:val="center"/>
              <w:rPr>
                <w:rFonts w:ascii="Times New Roman" w:hAnsi="Times New Roman" w:cs="Times New Roman"/>
                <w:sz w:val="24"/>
                <w:szCs w:val="24"/>
                <w:lang w:eastAsia="zh-CN"/>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E74F8F" w:rsidRPr="00E74F8F" w:rsidRDefault="00E74F8F">
            <w:pPr>
              <w:suppressAutoHyphens/>
              <w:snapToGrid w:val="0"/>
              <w:jc w:val="center"/>
              <w:rPr>
                <w:rFonts w:ascii="Times New Roman" w:hAnsi="Times New Roman" w:cs="Times New Roman"/>
                <w:sz w:val="24"/>
                <w:szCs w:val="24"/>
                <w:lang w:eastAsia="zh-CN"/>
              </w:rPr>
            </w:pPr>
          </w:p>
        </w:tc>
      </w:tr>
      <w:tr w:rsidR="00E74F8F" w:rsidRPr="00E74F8F" w:rsidTr="00E74F8F">
        <w:trPr>
          <w:trHeight w:val="550"/>
        </w:trPr>
        <w:tc>
          <w:tcPr>
            <w:tcW w:w="4003" w:type="dxa"/>
            <w:tcBorders>
              <w:top w:val="single" w:sz="4" w:space="0" w:color="000000"/>
              <w:left w:val="single" w:sz="4" w:space="0" w:color="000000"/>
              <w:bottom w:val="nil"/>
              <w:right w:val="nil"/>
            </w:tcBorders>
            <w:hideMark/>
          </w:tcPr>
          <w:p w:rsidR="00E74F8F" w:rsidRPr="00E74F8F" w:rsidRDefault="00E74F8F">
            <w:pPr>
              <w:rPr>
                <w:rFonts w:ascii="Times New Roman" w:hAnsi="Times New Roman" w:cs="Times New Roman"/>
                <w:sz w:val="24"/>
                <w:szCs w:val="24"/>
                <w:lang w:eastAsia="zh-CN"/>
              </w:rPr>
            </w:pPr>
            <w:r w:rsidRPr="00E74F8F">
              <w:rPr>
                <w:rFonts w:ascii="Times New Roman" w:hAnsi="Times New Roman" w:cs="Times New Roman"/>
              </w:rPr>
              <w:t>Психозы и состояния слабоумия</w:t>
            </w:r>
          </w:p>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всего, человек</w:t>
            </w:r>
          </w:p>
        </w:tc>
        <w:tc>
          <w:tcPr>
            <w:tcW w:w="1388"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w:t>
            </w:r>
          </w:p>
        </w:tc>
        <w:tc>
          <w:tcPr>
            <w:tcW w:w="1276"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w:t>
            </w:r>
          </w:p>
        </w:tc>
        <w:tc>
          <w:tcPr>
            <w:tcW w:w="1420"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8</w:t>
            </w:r>
          </w:p>
        </w:tc>
        <w:tc>
          <w:tcPr>
            <w:tcW w:w="1494"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snapToGrid w:val="0"/>
              <w:jc w:val="center"/>
              <w:rPr>
                <w:rFonts w:ascii="Times New Roman" w:hAnsi="Times New Roman" w:cs="Times New Roman"/>
                <w:sz w:val="24"/>
                <w:szCs w:val="24"/>
                <w:lang w:eastAsia="zh-CN"/>
              </w:rPr>
            </w:pPr>
            <w:r w:rsidRPr="00E74F8F">
              <w:rPr>
                <w:rFonts w:ascii="Times New Roman" w:hAnsi="Times New Roman" w:cs="Times New Roman"/>
              </w:rPr>
              <w:t>166,7</w:t>
            </w:r>
          </w:p>
        </w:tc>
      </w:tr>
      <w:tr w:rsidR="00E74F8F" w:rsidRPr="00E74F8F" w:rsidTr="00E74F8F">
        <w:trPr>
          <w:trHeight w:val="759"/>
        </w:trPr>
        <w:tc>
          <w:tcPr>
            <w:tcW w:w="4003"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на 100 000 детей в возрасте 15-17 лет</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9,6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9,4</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24,2</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tabs>
                <w:tab w:val="center" w:pos="680"/>
              </w:tabs>
              <w:jc w:val="center"/>
              <w:rPr>
                <w:rFonts w:ascii="Times New Roman" w:hAnsi="Times New Roman" w:cs="Times New Roman"/>
                <w:sz w:val="24"/>
                <w:szCs w:val="24"/>
                <w:lang w:eastAsia="zh-CN"/>
              </w:rPr>
            </w:pPr>
            <w:r w:rsidRPr="00E74F8F">
              <w:rPr>
                <w:rFonts w:ascii="Times New Roman" w:hAnsi="Times New Roman" w:cs="Times New Roman"/>
              </w:rPr>
              <w:t xml:space="preserve">157,4 </w:t>
            </w:r>
          </w:p>
          <w:p w:rsidR="00E74F8F" w:rsidRPr="00E74F8F" w:rsidRDefault="00E74F8F">
            <w:pPr>
              <w:tabs>
                <w:tab w:val="center" w:pos="680"/>
              </w:tabs>
              <w:suppressAutoHyphens/>
              <w:jc w:val="center"/>
              <w:rPr>
                <w:rFonts w:ascii="Times New Roman" w:hAnsi="Times New Roman" w:cs="Times New Roman"/>
                <w:sz w:val="24"/>
                <w:szCs w:val="24"/>
                <w:lang w:eastAsia="zh-CN"/>
              </w:rPr>
            </w:pPr>
            <w:r w:rsidRPr="00E74F8F">
              <w:rPr>
                <w:rFonts w:ascii="Times New Roman" w:hAnsi="Times New Roman" w:cs="Times New Roman"/>
              </w:rPr>
              <w:t>(в 2,6 раз)</w:t>
            </w:r>
          </w:p>
        </w:tc>
      </w:tr>
      <w:tr w:rsidR="00E74F8F" w:rsidRPr="00E74F8F" w:rsidTr="00E74F8F">
        <w:trPr>
          <w:trHeight w:val="1660"/>
        </w:trPr>
        <w:tc>
          <w:tcPr>
            <w:tcW w:w="4003" w:type="dxa"/>
            <w:tcBorders>
              <w:top w:val="single" w:sz="4" w:space="0" w:color="000000"/>
              <w:left w:val="single" w:sz="4" w:space="0" w:color="000000"/>
              <w:bottom w:val="nil"/>
              <w:right w:val="nil"/>
            </w:tcBorders>
            <w:hideMark/>
          </w:tcPr>
          <w:p w:rsidR="00E74F8F" w:rsidRPr="00E74F8F" w:rsidRDefault="00E74F8F">
            <w:pPr>
              <w:rPr>
                <w:rFonts w:ascii="Times New Roman" w:hAnsi="Times New Roman" w:cs="Times New Roman"/>
                <w:sz w:val="24"/>
                <w:szCs w:val="24"/>
                <w:lang w:eastAsia="zh-CN"/>
              </w:rPr>
            </w:pPr>
            <w:r w:rsidRPr="00E74F8F">
              <w:rPr>
                <w:rFonts w:ascii="Times New Roman" w:hAnsi="Times New Roman" w:cs="Times New Roman"/>
              </w:rPr>
              <w:lastRenderedPageBreak/>
              <w:t xml:space="preserve">из них шизофрения, </w:t>
            </w:r>
            <w:proofErr w:type="spellStart"/>
            <w:r w:rsidRPr="00E74F8F">
              <w:rPr>
                <w:rFonts w:ascii="Times New Roman" w:hAnsi="Times New Roman" w:cs="Times New Roman"/>
              </w:rPr>
              <w:t>шизоаффектические</w:t>
            </w:r>
            <w:proofErr w:type="spellEnd"/>
            <w:r w:rsidRPr="00E74F8F">
              <w:rPr>
                <w:rFonts w:ascii="Times New Roman" w:hAnsi="Times New Roman" w:cs="Times New Roman"/>
              </w:rPr>
              <w:t xml:space="preserve"> психозы, </w:t>
            </w:r>
            <w:proofErr w:type="spellStart"/>
            <w:r w:rsidRPr="00E74F8F">
              <w:rPr>
                <w:rFonts w:ascii="Times New Roman" w:hAnsi="Times New Roman" w:cs="Times New Roman"/>
              </w:rPr>
              <w:t>шизотипическое</w:t>
            </w:r>
            <w:proofErr w:type="spellEnd"/>
            <w:r w:rsidRPr="00E74F8F">
              <w:rPr>
                <w:rFonts w:ascii="Times New Roman" w:hAnsi="Times New Roman" w:cs="Times New Roman"/>
              </w:rPr>
              <w:t xml:space="preserve"> расстройство, аффективные психозы с </w:t>
            </w:r>
            <w:proofErr w:type="spellStart"/>
            <w:r w:rsidRPr="00E74F8F">
              <w:rPr>
                <w:rFonts w:ascii="Times New Roman" w:hAnsi="Times New Roman" w:cs="Times New Roman"/>
              </w:rPr>
              <w:t>неконгруентным</w:t>
            </w:r>
            <w:proofErr w:type="spellEnd"/>
            <w:r w:rsidRPr="00E74F8F">
              <w:rPr>
                <w:rFonts w:ascii="Times New Roman" w:hAnsi="Times New Roman" w:cs="Times New Roman"/>
              </w:rPr>
              <w:t xml:space="preserve"> аффекту бредом</w:t>
            </w:r>
          </w:p>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всего, человек</w:t>
            </w:r>
          </w:p>
        </w:tc>
        <w:tc>
          <w:tcPr>
            <w:tcW w:w="1388"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w:t>
            </w:r>
          </w:p>
        </w:tc>
        <w:tc>
          <w:tcPr>
            <w:tcW w:w="1276"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w:t>
            </w:r>
          </w:p>
        </w:tc>
        <w:tc>
          <w:tcPr>
            <w:tcW w:w="1420"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w:t>
            </w:r>
          </w:p>
        </w:tc>
        <w:tc>
          <w:tcPr>
            <w:tcW w:w="1494"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200</w:t>
            </w:r>
          </w:p>
        </w:tc>
      </w:tr>
      <w:tr w:rsidR="00E74F8F" w:rsidRPr="00E74F8F" w:rsidTr="00E74F8F">
        <w:trPr>
          <w:trHeight w:val="271"/>
        </w:trPr>
        <w:tc>
          <w:tcPr>
            <w:tcW w:w="4003"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на 100 000 детей в возрасте 15-17 лет</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9,6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3,1</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9,1</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jc w:val="center"/>
              <w:rPr>
                <w:rFonts w:ascii="Times New Roman" w:hAnsi="Times New Roman" w:cs="Times New Roman"/>
                <w:sz w:val="24"/>
                <w:szCs w:val="24"/>
                <w:lang w:eastAsia="zh-CN"/>
              </w:rPr>
            </w:pPr>
            <w:r w:rsidRPr="00E74F8F">
              <w:rPr>
                <w:rFonts w:ascii="Times New Roman" w:hAnsi="Times New Roman" w:cs="Times New Roman"/>
              </w:rPr>
              <w:t xml:space="preserve">193,5 </w:t>
            </w:r>
          </w:p>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(в 2,9 раз)</w:t>
            </w:r>
          </w:p>
        </w:tc>
      </w:tr>
      <w:tr w:rsidR="00E74F8F" w:rsidRPr="00E74F8F" w:rsidTr="00E74F8F">
        <w:trPr>
          <w:trHeight w:val="835"/>
        </w:trPr>
        <w:tc>
          <w:tcPr>
            <w:tcW w:w="4003" w:type="dxa"/>
            <w:tcBorders>
              <w:top w:val="single" w:sz="4" w:space="0" w:color="000000"/>
              <w:left w:val="single" w:sz="4" w:space="0" w:color="000000"/>
              <w:bottom w:val="nil"/>
              <w:right w:val="nil"/>
            </w:tcBorders>
            <w:hideMark/>
          </w:tcPr>
          <w:p w:rsidR="00E74F8F" w:rsidRPr="00E74F8F" w:rsidRDefault="00E74F8F">
            <w:pPr>
              <w:rPr>
                <w:rFonts w:ascii="Times New Roman" w:hAnsi="Times New Roman" w:cs="Times New Roman"/>
                <w:sz w:val="24"/>
                <w:szCs w:val="24"/>
                <w:lang w:eastAsia="zh-CN"/>
              </w:rPr>
            </w:pPr>
            <w:r w:rsidRPr="00E74F8F">
              <w:rPr>
                <w:rFonts w:ascii="Times New Roman" w:hAnsi="Times New Roman" w:cs="Times New Roman"/>
              </w:rPr>
              <w:t xml:space="preserve">Психические расстройства </w:t>
            </w:r>
            <w:proofErr w:type="spellStart"/>
            <w:r w:rsidRPr="00E74F8F">
              <w:rPr>
                <w:rFonts w:ascii="Times New Roman" w:hAnsi="Times New Roman" w:cs="Times New Roman"/>
              </w:rPr>
              <w:t>непсихотического</w:t>
            </w:r>
            <w:proofErr w:type="spellEnd"/>
            <w:r w:rsidRPr="00E74F8F">
              <w:rPr>
                <w:rFonts w:ascii="Times New Roman" w:hAnsi="Times New Roman" w:cs="Times New Roman"/>
              </w:rPr>
              <w:t xml:space="preserve"> характера</w:t>
            </w:r>
          </w:p>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всего, человек.</w:t>
            </w:r>
          </w:p>
        </w:tc>
        <w:tc>
          <w:tcPr>
            <w:tcW w:w="1388"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w:t>
            </w:r>
          </w:p>
        </w:tc>
        <w:tc>
          <w:tcPr>
            <w:tcW w:w="1276"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w:t>
            </w:r>
          </w:p>
        </w:tc>
        <w:tc>
          <w:tcPr>
            <w:tcW w:w="1420"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w:t>
            </w:r>
          </w:p>
        </w:tc>
        <w:tc>
          <w:tcPr>
            <w:tcW w:w="1494"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-75,0</w:t>
            </w:r>
          </w:p>
        </w:tc>
      </w:tr>
      <w:tr w:rsidR="00E74F8F" w:rsidRPr="00E74F8F" w:rsidTr="00E74F8F">
        <w:trPr>
          <w:trHeight w:val="271"/>
        </w:trPr>
        <w:tc>
          <w:tcPr>
            <w:tcW w:w="4003"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на 100 000 детей в возрасте 15-17 лет</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12,5</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3,0</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-76,0</w:t>
            </w:r>
          </w:p>
        </w:tc>
      </w:tr>
      <w:tr w:rsidR="00E74F8F" w:rsidRPr="00E74F8F" w:rsidTr="00E74F8F">
        <w:trPr>
          <w:trHeight w:val="550"/>
        </w:trPr>
        <w:tc>
          <w:tcPr>
            <w:tcW w:w="4003" w:type="dxa"/>
            <w:tcBorders>
              <w:top w:val="single" w:sz="4" w:space="0" w:color="000000"/>
              <w:left w:val="single" w:sz="4" w:space="0" w:color="000000"/>
              <w:bottom w:val="nil"/>
              <w:right w:val="nil"/>
            </w:tcBorders>
            <w:hideMark/>
          </w:tcPr>
          <w:p w:rsidR="00E74F8F" w:rsidRPr="00E74F8F" w:rsidRDefault="00E74F8F">
            <w:pPr>
              <w:rPr>
                <w:rFonts w:ascii="Times New Roman" w:hAnsi="Times New Roman" w:cs="Times New Roman"/>
                <w:sz w:val="24"/>
                <w:szCs w:val="24"/>
                <w:lang w:eastAsia="zh-CN"/>
              </w:rPr>
            </w:pPr>
            <w:r w:rsidRPr="00E74F8F">
              <w:rPr>
                <w:rFonts w:ascii="Times New Roman" w:hAnsi="Times New Roman" w:cs="Times New Roman"/>
              </w:rPr>
              <w:t>Умственная отсталость</w:t>
            </w:r>
          </w:p>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всего, человек</w:t>
            </w:r>
          </w:p>
        </w:tc>
        <w:tc>
          <w:tcPr>
            <w:tcW w:w="1388"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14</w:t>
            </w:r>
          </w:p>
        </w:tc>
        <w:tc>
          <w:tcPr>
            <w:tcW w:w="1276"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10</w:t>
            </w:r>
          </w:p>
        </w:tc>
        <w:tc>
          <w:tcPr>
            <w:tcW w:w="1420" w:type="dxa"/>
            <w:tcBorders>
              <w:top w:val="single" w:sz="4" w:space="0" w:color="000000"/>
              <w:left w:val="single" w:sz="4" w:space="0" w:color="000000"/>
              <w:bottom w:val="nil"/>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w:t>
            </w:r>
          </w:p>
        </w:tc>
        <w:tc>
          <w:tcPr>
            <w:tcW w:w="1494" w:type="dxa"/>
            <w:tcBorders>
              <w:top w:val="single" w:sz="4" w:space="0" w:color="000000"/>
              <w:left w:val="single" w:sz="4" w:space="0" w:color="000000"/>
              <w:bottom w:val="nil"/>
              <w:right w:val="single" w:sz="4" w:space="0" w:color="000000"/>
            </w:tcBorders>
            <w:vAlign w:val="center"/>
            <w:hideMark/>
          </w:tcPr>
          <w:p w:rsidR="00E74F8F" w:rsidRPr="00E74F8F" w:rsidRDefault="00E74F8F">
            <w:pPr>
              <w:tabs>
                <w:tab w:val="center" w:pos="680"/>
              </w:tabs>
              <w:suppressAutoHyphens/>
              <w:snapToGrid w:val="0"/>
              <w:jc w:val="center"/>
              <w:rPr>
                <w:rFonts w:ascii="Times New Roman" w:hAnsi="Times New Roman" w:cs="Times New Roman"/>
                <w:sz w:val="24"/>
                <w:szCs w:val="24"/>
                <w:lang w:eastAsia="zh-CN"/>
              </w:rPr>
            </w:pPr>
            <w:r w:rsidRPr="00E74F8F">
              <w:rPr>
                <w:rFonts w:ascii="Times New Roman" w:hAnsi="Times New Roman" w:cs="Times New Roman"/>
              </w:rPr>
              <w:t>-50,0</w:t>
            </w:r>
          </w:p>
        </w:tc>
      </w:tr>
      <w:tr w:rsidR="00E74F8F" w:rsidRPr="00E74F8F" w:rsidTr="00E74F8F">
        <w:trPr>
          <w:trHeight w:val="271"/>
        </w:trPr>
        <w:tc>
          <w:tcPr>
            <w:tcW w:w="4003" w:type="dxa"/>
            <w:tcBorders>
              <w:top w:val="single" w:sz="4" w:space="0" w:color="000000"/>
              <w:left w:val="single" w:sz="4" w:space="0" w:color="000000"/>
              <w:bottom w:val="single" w:sz="4" w:space="0" w:color="000000"/>
              <w:right w:val="nil"/>
            </w:tcBorders>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rPr>
              <w:t>на100 000 детей в возрасте 15-17 лет</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44,9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31,3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15,1</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-51,8</w:t>
            </w:r>
          </w:p>
        </w:tc>
      </w:tr>
    </w:tbl>
    <w:p w:rsidR="00E74F8F" w:rsidRPr="00E74F8F" w:rsidRDefault="00E74F8F" w:rsidP="00E74F8F">
      <w:pPr>
        <w:ind w:firstLine="709"/>
        <w:jc w:val="both"/>
        <w:rPr>
          <w:rFonts w:ascii="Times New Roman" w:hAnsi="Times New Roman" w:cs="Times New Roman"/>
          <w:lang w:eastAsia="zh-CN"/>
        </w:rPr>
      </w:pPr>
    </w:p>
    <w:p w:rsidR="00E74F8F" w:rsidRPr="00E74F8F" w:rsidRDefault="00E74F8F" w:rsidP="00E74F8F">
      <w:pPr>
        <w:spacing w:after="0" w:line="240" w:lineRule="auto"/>
        <w:ind w:firstLine="709"/>
        <w:jc w:val="both"/>
        <w:rPr>
          <w:rFonts w:ascii="Times New Roman" w:hAnsi="Times New Roman" w:cs="Times New Roman"/>
        </w:rPr>
      </w:pPr>
      <w:r w:rsidRPr="00E74F8F">
        <w:rPr>
          <w:rFonts w:ascii="Times New Roman" w:hAnsi="Times New Roman" w:cs="Times New Roman"/>
        </w:rPr>
        <w:t xml:space="preserve">В области ведется активная работа по выявлению психически больных детей и подростков. Работая в этом </w:t>
      </w:r>
      <w:proofErr w:type="gramStart"/>
      <w:r w:rsidRPr="00E74F8F">
        <w:rPr>
          <w:rFonts w:ascii="Times New Roman" w:hAnsi="Times New Roman" w:cs="Times New Roman"/>
        </w:rPr>
        <w:t>направлении</w:t>
      </w:r>
      <w:proofErr w:type="gramEnd"/>
      <w:r w:rsidRPr="00E74F8F">
        <w:rPr>
          <w:rFonts w:ascii="Times New Roman" w:hAnsi="Times New Roman" w:cs="Times New Roman"/>
        </w:rPr>
        <w:t xml:space="preserve"> врачи-психиатры входят в состав медико-педагогических комиссий, принимают участие в заседании комиссий по делам несовершеннолетних, активно сотрудничают с психологами, логопедами, врачами-неврологами, врачами-педиатрами и другими специалистами. Для обучения врачей ранней диагностике психических заболеваний у детей на базе областного общества психиатров ежегодно проводятся циклы прерывистых курсов.</w:t>
      </w:r>
    </w:p>
    <w:p w:rsidR="00E74F8F" w:rsidRPr="00E74F8F" w:rsidRDefault="00E74F8F" w:rsidP="00E74F8F">
      <w:pPr>
        <w:spacing w:after="0" w:line="240" w:lineRule="auto"/>
        <w:ind w:firstLine="709"/>
        <w:jc w:val="both"/>
        <w:rPr>
          <w:rFonts w:ascii="Times New Roman" w:hAnsi="Times New Roman" w:cs="Times New Roman"/>
        </w:rPr>
      </w:pPr>
      <w:r w:rsidRPr="00E74F8F">
        <w:rPr>
          <w:rFonts w:ascii="Times New Roman" w:hAnsi="Times New Roman" w:cs="Times New Roman"/>
        </w:rPr>
        <w:t xml:space="preserve">По итогам 2020 года под диспансерным наблюдением  врачей-психиатров  находятся   708 детей в возрасте 0 -14 лет с психическими расстройствами </w:t>
      </w:r>
      <w:proofErr w:type="spellStart"/>
      <w:proofErr w:type="gramStart"/>
      <w:r w:rsidRPr="00E74F8F">
        <w:rPr>
          <w:rFonts w:ascii="Times New Roman" w:hAnsi="Times New Roman" w:cs="Times New Roman"/>
        </w:rPr>
        <w:t>расстройствами</w:t>
      </w:r>
      <w:proofErr w:type="spellEnd"/>
      <w:proofErr w:type="gramEnd"/>
      <w:r w:rsidRPr="00E74F8F">
        <w:rPr>
          <w:rFonts w:ascii="Times New Roman" w:hAnsi="Times New Roman" w:cs="Times New Roman"/>
        </w:rPr>
        <w:t xml:space="preserve"> поведения, из них 22,3 % составляют дети с расстройствами аутистического спектра.</w:t>
      </w:r>
    </w:p>
    <w:p w:rsidR="00E74F8F" w:rsidRPr="00E74F8F" w:rsidRDefault="00E74F8F" w:rsidP="00E74F8F">
      <w:pPr>
        <w:spacing w:after="0" w:line="240" w:lineRule="auto"/>
        <w:ind w:firstLine="709"/>
        <w:jc w:val="both"/>
        <w:rPr>
          <w:rFonts w:ascii="Times New Roman" w:hAnsi="Times New Roman" w:cs="Times New Roman"/>
        </w:rPr>
      </w:pPr>
      <w:r w:rsidRPr="00E74F8F">
        <w:rPr>
          <w:rFonts w:ascii="Times New Roman" w:hAnsi="Times New Roman" w:cs="Times New Roman"/>
        </w:rPr>
        <w:t xml:space="preserve">В возрасте 15-17 лет на диспансерном учете состоит  532 подростка, среди которых  3% - это дети с расстройствами аутистического спектра. Более 80% </w:t>
      </w:r>
      <w:proofErr w:type="spellStart"/>
      <w:r w:rsidRPr="00E74F8F">
        <w:rPr>
          <w:rFonts w:ascii="Times New Roman" w:hAnsi="Times New Roman" w:cs="Times New Roman"/>
        </w:rPr>
        <w:t>выявляемости</w:t>
      </w:r>
      <w:proofErr w:type="spellEnd"/>
      <w:r w:rsidRPr="00E74F8F">
        <w:rPr>
          <w:rFonts w:ascii="Times New Roman" w:hAnsi="Times New Roman" w:cs="Times New Roman"/>
        </w:rPr>
        <w:t xml:space="preserve"> психических заболеваний составляет консультативная группа, предусматривающая добровольность оказания психиатрической помощи.</w:t>
      </w:r>
    </w:p>
    <w:p w:rsidR="00E74F8F" w:rsidRPr="00E74F8F" w:rsidRDefault="00E74F8F" w:rsidP="00E74F8F">
      <w:pPr>
        <w:spacing w:after="0" w:line="240" w:lineRule="auto"/>
        <w:ind w:firstLine="709"/>
        <w:jc w:val="both"/>
        <w:rPr>
          <w:rFonts w:ascii="Times New Roman" w:hAnsi="Times New Roman" w:cs="Times New Roman"/>
        </w:rPr>
      </w:pPr>
      <w:r w:rsidRPr="00E74F8F">
        <w:rPr>
          <w:rFonts w:ascii="Times New Roman" w:hAnsi="Times New Roman" w:cs="Times New Roman"/>
        </w:rPr>
        <w:t>В течение многих лет в г. Липецке функционирует «телефон доверия» и 2 кабинета социально - психологической помощи при поликлиниках г. Липецка, где ведется анонимный прием всех возрастных групп населения квалифицированными специалистами. На долю детей, подростков и их родителей из всех консультаций ежегодно приходится до 10%.</w:t>
      </w:r>
    </w:p>
    <w:p w:rsidR="00E74F8F" w:rsidRPr="00E74F8F" w:rsidRDefault="00E74F8F" w:rsidP="00E74F8F">
      <w:pPr>
        <w:spacing w:after="0" w:line="240" w:lineRule="auto"/>
        <w:ind w:firstLine="709"/>
        <w:jc w:val="both"/>
        <w:rPr>
          <w:rFonts w:ascii="Times New Roman" w:hAnsi="Times New Roman" w:cs="Times New Roman"/>
        </w:rPr>
      </w:pPr>
      <w:r w:rsidRPr="00E74F8F">
        <w:rPr>
          <w:rFonts w:ascii="Times New Roman" w:hAnsi="Times New Roman" w:cs="Times New Roman"/>
        </w:rPr>
        <w:t>При оказании психиатрической помощи одновременно несовершеннолетние получают квалифицированную помощь психологов, психотерапевтов, логопедов, педагогов и других специалистов, а также при необходимости - социально – правовую помощь.</w:t>
      </w:r>
    </w:p>
    <w:p w:rsidR="00E74F8F" w:rsidRPr="00E74F8F" w:rsidRDefault="00E74F8F" w:rsidP="00E74F8F">
      <w:pPr>
        <w:spacing w:after="0" w:line="240" w:lineRule="auto"/>
        <w:ind w:firstLine="709"/>
        <w:jc w:val="both"/>
        <w:rPr>
          <w:rFonts w:ascii="Times New Roman" w:hAnsi="Times New Roman" w:cs="Times New Roman"/>
        </w:rPr>
      </w:pPr>
      <w:r w:rsidRPr="00E74F8F">
        <w:rPr>
          <w:rFonts w:ascii="Times New Roman" w:hAnsi="Times New Roman" w:cs="Times New Roman"/>
        </w:rPr>
        <w:t xml:space="preserve">Немалая роль в работе по оздоровлению детско-подросткового населения отводится гигиеническому воспитанию: традиционно  в среднем более 15% всех прочитанных лекций по психогигиене и </w:t>
      </w:r>
      <w:proofErr w:type="spellStart"/>
      <w:r w:rsidRPr="00E74F8F">
        <w:rPr>
          <w:rFonts w:ascii="Times New Roman" w:hAnsi="Times New Roman" w:cs="Times New Roman"/>
        </w:rPr>
        <w:t>психопрофилактике</w:t>
      </w:r>
      <w:proofErr w:type="spellEnd"/>
      <w:r w:rsidRPr="00E74F8F">
        <w:rPr>
          <w:rFonts w:ascii="Times New Roman" w:hAnsi="Times New Roman" w:cs="Times New Roman"/>
        </w:rPr>
        <w:t xml:space="preserve"> приходится на молодежную аудиторию.</w:t>
      </w:r>
    </w:p>
    <w:p w:rsidR="00E74F8F" w:rsidRPr="00E74F8F" w:rsidRDefault="00E74F8F" w:rsidP="00E74F8F">
      <w:pPr>
        <w:spacing w:after="0" w:line="240" w:lineRule="auto"/>
        <w:ind w:firstLine="709"/>
        <w:jc w:val="both"/>
        <w:rPr>
          <w:rFonts w:ascii="Times New Roman" w:hAnsi="Times New Roman" w:cs="Times New Roman"/>
        </w:rPr>
      </w:pPr>
      <w:r w:rsidRPr="00E74F8F">
        <w:rPr>
          <w:rFonts w:ascii="Times New Roman" w:hAnsi="Times New Roman" w:cs="Times New Roman"/>
        </w:rPr>
        <w:t xml:space="preserve">Сохраняющаяся специализация детских отделений – в ГУЗ «Липецкая областная психоневрологическая больница», где находятся на лечении дети с более тяжелыми формами  психических расстройств и нарушениями поведения, а в ГУЗ «Областная детская больница» - больные с невротическими и органическими заболеваниями головного мозга позволяют качественно оказывать необходимую специализированную медицинскую помощь данной категории пациентов. </w:t>
      </w:r>
    </w:p>
    <w:p w:rsidR="00E74F8F" w:rsidRPr="00E74F8F" w:rsidRDefault="00E74F8F" w:rsidP="00E74F8F">
      <w:pPr>
        <w:spacing w:after="0" w:line="240" w:lineRule="auto"/>
        <w:ind w:firstLine="709"/>
        <w:jc w:val="both"/>
        <w:rPr>
          <w:rFonts w:ascii="Times New Roman" w:hAnsi="Times New Roman" w:cs="Times New Roman"/>
          <w:bCs/>
        </w:rPr>
      </w:pPr>
      <w:r w:rsidRPr="00E74F8F">
        <w:rPr>
          <w:rFonts w:ascii="Times New Roman" w:hAnsi="Times New Roman" w:cs="Times New Roman"/>
          <w:bCs/>
        </w:rPr>
        <w:lastRenderedPageBreak/>
        <w:t xml:space="preserve">Основным источником о состоянии здоровья детей по-прежнему являются результаты профилактических осмотров несовершеннолетних. В 2019 году проведение профилактических осмотров осуществлялось в соответствии с приказом  Министерства здравоохранения Российской Федерации от 10 августа 2017 года  № 514н  «О порядке </w:t>
      </w:r>
      <w:proofErr w:type="spellStart"/>
      <w:proofErr w:type="gramStart"/>
      <w:r w:rsidRPr="00E74F8F">
        <w:rPr>
          <w:rFonts w:ascii="Times New Roman" w:hAnsi="Times New Roman" w:cs="Times New Roman"/>
          <w:bCs/>
        </w:rPr>
        <w:t>порядке</w:t>
      </w:r>
      <w:proofErr w:type="spellEnd"/>
      <w:proofErr w:type="gramEnd"/>
      <w:r w:rsidRPr="00E74F8F">
        <w:rPr>
          <w:rFonts w:ascii="Times New Roman" w:hAnsi="Times New Roman" w:cs="Times New Roman"/>
          <w:bCs/>
        </w:rPr>
        <w:t xml:space="preserve"> проведения профилактических медицинских осмотров несовершеннолетних». </w:t>
      </w:r>
    </w:p>
    <w:p w:rsidR="00E74F8F" w:rsidRPr="00E74F8F" w:rsidRDefault="00E74F8F" w:rsidP="00E74F8F">
      <w:pPr>
        <w:spacing w:after="0" w:line="240" w:lineRule="auto"/>
        <w:ind w:firstLine="709"/>
        <w:jc w:val="both"/>
        <w:rPr>
          <w:rFonts w:ascii="Times New Roman" w:hAnsi="Times New Roman" w:cs="Times New Roman"/>
          <w:bCs/>
        </w:rPr>
      </w:pPr>
      <w:proofErr w:type="gramStart"/>
      <w:r w:rsidRPr="00E74F8F">
        <w:rPr>
          <w:rFonts w:ascii="Times New Roman" w:hAnsi="Times New Roman" w:cs="Times New Roman"/>
          <w:bCs/>
        </w:rPr>
        <w:t xml:space="preserve">Профилактические  осмотры детей и подростков-школьников  свидетельствуют о  нарушениях в состоянии здоровья детей, в частности,  с нарушениями опорно-двигательного аппарата,  снижением остроты зрения у школьников при переходе к предметному обучению, что обусловлено реально высокой значимостью влияний </w:t>
      </w:r>
      <w:proofErr w:type="spellStart"/>
      <w:r w:rsidRPr="00E74F8F">
        <w:rPr>
          <w:rFonts w:ascii="Times New Roman" w:hAnsi="Times New Roman" w:cs="Times New Roman"/>
          <w:bCs/>
        </w:rPr>
        <w:t>внутришкольной</w:t>
      </w:r>
      <w:proofErr w:type="spellEnd"/>
      <w:r w:rsidRPr="00E74F8F">
        <w:rPr>
          <w:rFonts w:ascii="Times New Roman" w:hAnsi="Times New Roman" w:cs="Times New Roman"/>
          <w:bCs/>
        </w:rPr>
        <w:t xml:space="preserve"> среды на здоровье учащихся, интенсификацией учебного процесса, трудностью при адаптации детей к высоким учебным нагрузкам в сочетании с неблагоприятными санитарно-гигиеническими условиями обучения.</w:t>
      </w:r>
      <w:proofErr w:type="gramEnd"/>
      <w:r w:rsidRPr="00E74F8F">
        <w:rPr>
          <w:rFonts w:ascii="Times New Roman" w:hAnsi="Times New Roman" w:cs="Times New Roman"/>
          <w:bCs/>
        </w:rPr>
        <w:t xml:space="preserve"> Сделанные выводы позволяют подтвердить, что здравоохранение является не единственным сектором, ответственным за сохранение и укрепление здоровья детей.</w:t>
      </w:r>
    </w:p>
    <w:p w:rsidR="00E74F8F" w:rsidRPr="00E74F8F" w:rsidRDefault="00E74F8F" w:rsidP="00E74F8F">
      <w:pPr>
        <w:jc w:val="right"/>
        <w:rPr>
          <w:rFonts w:ascii="Times New Roman" w:hAnsi="Times New Roman" w:cs="Times New Roman"/>
          <w:b/>
          <w:bCs/>
        </w:rPr>
      </w:pPr>
    </w:p>
    <w:p w:rsidR="00E74F8F" w:rsidRPr="00E74F8F" w:rsidRDefault="00E74F8F" w:rsidP="00E74F8F">
      <w:pPr>
        <w:jc w:val="center"/>
        <w:rPr>
          <w:rFonts w:ascii="Times New Roman" w:hAnsi="Times New Roman" w:cs="Times New Roman"/>
          <w:b/>
          <w:bCs/>
        </w:rPr>
      </w:pPr>
      <w:r w:rsidRPr="00E74F8F">
        <w:rPr>
          <w:rFonts w:ascii="Times New Roman" w:hAnsi="Times New Roman" w:cs="Times New Roman"/>
          <w:b/>
          <w:bCs/>
        </w:rPr>
        <w:t xml:space="preserve">Распределение школьников по группам здоровья </w:t>
      </w:r>
    </w:p>
    <w:p w:rsidR="00E74F8F" w:rsidRPr="00E74F8F" w:rsidRDefault="00E74F8F" w:rsidP="00E74F8F">
      <w:pPr>
        <w:jc w:val="center"/>
        <w:rPr>
          <w:rFonts w:ascii="Times New Roman" w:hAnsi="Times New Roman" w:cs="Times New Roman"/>
          <w:bCs/>
        </w:rPr>
      </w:pPr>
      <w:r w:rsidRPr="00E74F8F">
        <w:rPr>
          <w:rFonts w:ascii="Times New Roman" w:hAnsi="Times New Roman" w:cs="Times New Roman"/>
          <w:b/>
          <w:bCs/>
        </w:rPr>
        <w:t>по итогам профилактических осмотров</w:t>
      </w:r>
    </w:p>
    <w:tbl>
      <w:tblPr>
        <w:tblW w:w="9435" w:type="dxa"/>
        <w:tblLayout w:type="fixed"/>
        <w:tblLook w:val="04A0" w:firstRow="1" w:lastRow="0" w:firstColumn="1" w:lastColumn="0" w:noHBand="0" w:noVBand="1"/>
      </w:tblPr>
      <w:tblGrid>
        <w:gridCol w:w="1416"/>
        <w:gridCol w:w="1384"/>
        <w:gridCol w:w="1705"/>
        <w:gridCol w:w="21"/>
        <w:gridCol w:w="1821"/>
        <w:gridCol w:w="1419"/>
        <w:gridCol w:w="1669"/>
      </w:tblGrid>
      <w:tr w:rsidR="00E74F8F" w:rsidRPr="00E74F8F" w:rsidTr="00E74F8F">
        <w:trPr>
          <w:cantSplit/>
          <w:trHeight w:val="192"/>
        </w:trPr>
        <w:tc>
          <w:tcPr>
            <w:tcW w:w="1416" w:type="dxa"/>
            <w:vMerge w:val="restart"/>
            <w:tcBorders>
              <w:top w:val="single" w:sz="4" w:space="0" w:color="000000"/>
              <w:left w:val="single" w:sz="4" w:space="0" w:color="000000"/>
              <w:bottom w:val="single" w:sz="4" w:space="0" w:color="000000"/>
              <w:right w:val="nil"/>
            </w:tcBorders>
            <w:vAlign w:val="center"/>
          </w:tcPr>
          <w:p w:rsidR="00E74F8F" w:rsidRPr="00E74F8F" w:rsidRDefault="00E74F8F">
            <w:pPr>
              <w:snapToGrid w:val="0"/>
              <w:jc w:val="center"/>
              <w:rPr>
                <w:rFonts w:ascii="Times New Roman" w:hAnsi="Times New Roman" w:cs="Times New Roman"/>
                <w:bCs/>
                <w:sz w:val="24"/>
                <w:szCs w:val="24"/>
                <w:lang w:eastAsia="zh-CN"/>
              </w:rPr>
            </w:pPr>
          </w:p>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Год</w:t>
            </w:r>
          </w:p>
        </w:tc>
        <w:tc>
          <w:tcPr>
            <w:tcW w:w="8014" w:type="dxa"/>
            <w:gridSpan w:val="6"/>
            <w:tcBorders>
              <w:top w:val="single" w:sz="4" w:space="0" w:color="000000"/>
              <w:left w:val="single" w:sz="4" w:space="0" w:color="000000"/>
              <w:bottom w:val="single" w:sz="4" w:space="0" w:color="auto"/>
              <w:right w:val="single" w:sz="4" w:space="0" w:color="000000"/>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 xml:space="preserve">Группы здоровья детей – удельный вес </w:t>
            </w:r>
            <w:proofErr w:type="gramStart"/>
            <w:r w:rsidRPr="00E74F8F">
              <w:rPr>
                <w:rFonts w:ascii="Times New Roman" w:hAnsi="Times New Roman" w:cs="Times New Roman"/>
                <w:bCs/>
              </w:rPr>
              <w:t>в</w:t>
            </w:r>
            <w:proofErr w:type="gramEnd"/>
            <w:r w:rsidRPr="00E74F8F">
              <w:rPr>
                <w:rFonts w:ascii="Times New Roman" w:hAnsi="Times New Roman" w:cs="Times New Roman"/>
                <w:bCs/>
              </w:rPr>
              <w:t xml:space="preserve"> %</w:t>
            </w:r>
          </w:p>
        </w:tc>
      </w:tr>
      <w:tr w:rsidR="00E74F8F" w:rsidRPr="00E74F8F" w:rsidTr="00E74F8F">
        <w:trPr>
          <w:cantSplit/>
          <w:trHeight w:val="345"/>
        </w:trPr>
        <w:tc>
          <w:tcPr>
            <w:tcW w:w="1416" w:type="dxa"/>
            <w:vMerge/>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p>
        </w:tc>
        <w:tc>
          <w:tcPr>
            <w:tcW w:w="1383" w:type="dxa"/>
            <w:tcBorders>
              <w:top w:val="single" w:sz="4" w:space="0" w:color="auto"/>
              <w:left w:val="single" w:sz="4" w:space="0" w:color="000000"/>
              <w:bottom w:val="single" w:sz="4" w:space="0" w:color="000000"/>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val="en-US" w:eastAsia="zh-CN"/>
              </w:rPr>
            </w:pPr>
            <w:r w:rsidRPr="00E74F8F">
              <w:rPr>
                <w:rFonts w:ascii="Times New Roman" w:hAnsi="Times New Roman" w:cs="Times New Roman"/>
                <w:bCs/>
                <w:lang w:val="en-US"/>
              </w:rPr>
              <w:t>I</w:t>
            </w:r>
          </w:p>
        </w:tc>
        <w:tc>
          <w:tcPr>
            <w:tcW w:w="1704" w:type="dxa"/>
            <w:tcBorders>
              <w:top w:val="single" w:sz="4" w:space="0" w:color="auto"/>
              <w:left w:val="single" w:sz="4" w:space="0" w:color="auto"/>
              <w:bottom w:val="single" w:sz="4" w:space="0" w:color="000000"/>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val="en-US" w:eastAsia="zh-CN"/>
              </w:rPr>
            </w:pPr>
            <w:r w:rsidRPr="00E74F8F">
              <w:rPr>
                <w:rFonts w:ascii="Times New Roman" w:hAnsi="Times New Roman" w:cs="Times New Roman"/>
                <w:bCs/>
                <w:lang w:val="en-US"/>
              </w:rPr>
              <w:t>II</w:t>
            </w:r>
          </w:p>
        </w:tc>
        <w:tc>
          <w:tcPr>
            <w:tcW w:w="1841" w:type="dxa"/>
            <w:gridSpan w:val="2"/>
            <w:tcBorders>
              <w:top w:val="single" w:sz="4" w:space="0" w:color="auto"/>
              <w:left w:val="single" w:sz="4" w:space="0" w:color="auto"/>
              <w:bottom w:val="single" w:sz="4" w:space="0" w:color="000000"/>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val="en-US" w:eastAsia="zh-CN"/>
              </w:rPr>
            </w:pPr>
            <w:r w:rsidRPr="00E74F8F">
              <w:rPr>
                <w:rFonts w:ascii="Times New Roman" w:hAnsi="Times New Roman" w:cs="Times New Roman"/>
                <w:bCs/>
                <w:lang w:val="en-US"/>
              </w:rPr>
              <w:t>III</w:t>
            </w:r>
          </w:p>
        </w:tc>
        <w:tc>
          <w:tcPr>
            <w:tcW w:w="1418" w:type="dxa"/>
            <w:tcBorders>
              <w:top w:val="single" w:sz="4" w:space="0" w:color="auto"/>
              <w:left w:val="single" w:sz="4" w:space="0" w:color="auto"/>
              <w:bottom w:val="single" w:sz="4" w:space="0" w:color="000000"/>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val="en-US" w:eastAsia="zh-CN"/>
              </w:rPr>
            </w:pPr>
            <w:r w:rsidRPr="00E74F8F">
              <w:rPr>
                <w:rFonts w:ascii="Times New Roman" w:hAnsi="Times New Roman" w:cs="Times New Roman"/>
                <w:bCs/>
                <w:lang w:val="en-US"/>
              </w:rPr>
              <w:t>IV</w:t>
            </w:r>
          </w:p>
        </w:tc>
        <w:tc>
          <w:tcPr>
            <w:tcW w:w="1668" w:type="dxa"/>
            <w:tcBorders>
              <w:top w:val="single" w:sz="4" w:space="0" w:color="auto"/>
              <w:left w:val="single" w:sz="4" w:space="0" w:color="auto"/>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bCs/>
                <w:sz w:val="24"/>
                <w:szCs w:val="24"/>
                <w:lang w:val="en-US" w:eastAsia="zh-CN"/>
              </w:rPr>
            </w:pPr>
            <w:r w:rsidRPr="00E74F8F">
              <w:rPr>
                <w:rFonts w:ascii="Times New Roman" w:hAnsi="Times New Roman" w:cs="Times New Roman"/>
                <w:bCs/>
                <w:lang w:val="en-US"/>
              </w:rPr>
              <w:t>V</w:t>
            </w:r>
          </w:p>
        </w:tc>
      </w:tr>
      <w:tr w:rsidR="00E74F8F" w:rsidRPr="00E74F8F" w:rsidTr="00E74F8F">
        <w:trPr>
          <w:trHeight w:val="594"/>
        </w:trPr>
        <w:tc>
          <w:tcPr>
            <w:tcW w:w="1416"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2018 г.</w:t>
            </w:r>
          </w:p>
        </w:tc>
        <w:tc>
          <w:tcPr>
            <w:tcW w:w="1383" w:type="dxa"/>
            <w:tcBorders>
              <w:top w:val="single" w:sz="4" w:space="0" w:color="000000"/>
              <w:left w:val="single" w:sz="4" w:space="0" w:color="000000"/>
              <w:bottom w:val="single" w:sz="4" w:space="0" w:color="000000"/>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26,8</w:t>
            </w:r>
          </w:p>
        </w:tc>
        <w:tc>
          <w:tcPr>
            <w:tcW w:w="1725" w:type="dxa"/>
            <w:gridSpan w:val="2"/>
            <w:tcBorders>
              <w:top w:val="single" w:sz="4" w:space="0" w:color="000000"/>
              <w:left w:val="single" w:sz="4" w:space="0" w:color="auto"/>
              <w:bottom w:val="single" w:sz="4" w:space="0" w:color="000000"/>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56,8</w:t>
            </w:r>
          </w:p>
        </w:tc>
        <w:tc>
          <w:tcPr>
            <w:tcW w:w="1820" w:type="dxa"/>
            <w:tcBorders>
              <w:top w:val="single" w:sz="4" w:space="0" w:color="000000"/>
              <w:left w:val="single" w:sz="4" w:space="0" w:color="auto"/>
              <w:bottom w:val="single" w:sz="4" w:space="0" w:color="000000"/>
              <w:right w:val="single" w:sz="4" w:space="0" w:color="auto"/>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13,8</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1,3</w:t>
            </w:r>
          </w:p>
        </w:tc>
        <w:tc>
          <w:tcPr>
            <w:tcW w:w="1668" w:type="dxa"/>
            <w:tcBorders>
              <w:top w:val="single" w:sz="4" w:space="0" w:color="000000"/>
              <w:left w:val="single" w:sz="4" w:space="0" w:color="auto"/>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1,3</w:t>
            </w:r>
          </w:p>
        </w:tc>
      </w:tr>
      <w:tr w:rsidR="00E74F8F" w:rsidRPr="00E74F8F" w:rsidTr="00E74F8F">
        <w:trPr>
          <w:trHeight w:val="594"/>
        </w:trPr>
        <w:tc>
          <w:tcPr>
            <w:tcW w:w="1416"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2019 г.</w:t>
            </w:r>
          </w:p>
        </w:tc>
        <w:tc>
          <w:tcPr>
            <w:tcW w:w="1383"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27,1</w:t>
            </w:r>
          </w:p>
        </w:tc>
        <w:tc>
          <w:tcPr>
            <w:tcW w:w="1725" w:type="dxa"/>
            <w:gridSpan w:val="2"/>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55,9</w:t>
            </w:r>
          </w:p>
        </w:tc>
        <w:tc>
          <w:tcPr>
            <w:tcW w:w="1820"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14,3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1,5</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1,2</w:t>
            </w:r>
          </w:p>
        </w:tc>
      </w:tr>
      <w:tr w:rsidR="00E74F8F" w:rsidRPr="00E74F8F" w:rsidTr="00E74F8F">
        <w:trPr>
          <w:trHeight w:val="594"/>
        </w:trPr>
        <w:tc>
          <w:tcPr>
            <w:tcW w:w="1416"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2020 г.</w:t>
            </w:r>
          </w:p>
        </w:tc>
        <w:tc>
          <w:tcPr>
            <w:tcW w:w="1383"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27,4</w:t>
            </w:r>
          </w:p>
        </w:tc>
        <w:tc>
          <w:tcPr>
            <w:tcW w:w="1725" w:type="dxa"/>
            <w:gridSpan w:val="2"/>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57,1</w:t>
            </w:r>
          </w:p>
        </w:tc>
        <w:tc>
          <w:tcPr>
            <w:tcW w:w="1820"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12,2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1,9</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bCs/>
                <w:sz w:val="24"/>
                <w:szCs w:val="24"/>
                <w:lang w:eastAsia="zh-CN"/>
              </w:rPr>
            </w:pPr>
            <w:r w:rsidRPr="00E74F8F">
              <w:rPr>
                <w:rFonts w:ascii="Times New Roman" w:hAnsi="Times New Roman" w:cs="Times New Roman"/>
                <w:bCs/>
              </w:rPr>
              <w:t>1,4</w:t>
            </w:r>
          </w:p>
        </w:tc>
      </w:tr>
    </w:tbl>
    <w:p w:rsidR="00E74F8F" w:rsidRPr="00E74F8F" w:rsidRDefault="00E74F8F" w:rsidP="00E74F8F">
      <w:pPr>
        <w:ind w:firstLine="720"/>
        <w:jc w:val="both"/>
        <w:rPr>
          <w:rFonts w:ascii="Times New Roman" w:hAnsi="Times New Roman" w:cs="Times New Roman"/>
          <w:lang w:eastAsia="zh-CN"/>
        </w:rPr>
      </w:pPr>
    </w:p>
    <w:p w:rsidR="00E74F8F" w:rsidRPr="00E74F8F" w:rsidRDefault="00E74F8F" w:rsidP="00E74F8F">
      <w:pPr>
        <w:ind w:firstLine="720"/>
        <w:jc w:val="both"/>
        <w:rPr>
          <w:rFonts w:ascii="Times New Roman" w:hAnsi="Times New Roman" w:cs="Times New Roman"/>
          <w:color w:val="0000FF"/>
        </w:rPr>
      </w:pPr>
      <w:r w:rsidRPr="00E74F8F">
        <w:rPr>
          <w:rFonts w:ascii="Times New Roman" w:hAnsi="Times New Roman" w:cs="Times New Roman"/>
        </w:rPr>
        <w:t>Одним из важнейших индикаторов состояния системы здравоохранения в области по-прежнему является показатель младенческой смертности.</w:t>
      </w:r>
    </w:p>
    <w:p w:rsidR="00E74F8F" w:rsidRPr="00E74F8F" w:rsidRDefault="00E74F8F" w:rsidP="00E74F8F">
      <w:pPr>
        <w:ind w:firstLine="720"/>
        <w:jc w:val="center"/>
        <w:rPr>
          <w:rFonts w:ascii="Times New Roman" w:hAnsi="Times New Roman" w:cs="Times New Roman"/>
          <w:b/>
        </w:rPr>
      </w:pPr>
      <w:r w:rsidRPr="00E74F8F">
        <w:rPr>
          <w:rFonts w:ascii="Times New Roman" w:hAnsi="Times New Roman" w:cs="Times New Roman"/>
          <w:b/>
        </w:rPr>
        <w:t xml:space="preserve">Младенческая смертность на 1000 </w:t>
      </w:r>
      <w:proofErr w:type="gramStart"/>
      <w:r w:rsidRPr="00E74F8F">
        <w:rPr>
          <w:rFonts w:ascii="Times New Roman" w:hAnsi="Times New Roman" w:cs="Times New Roman"/>
          <w:b/>
        </w:rPr>
        <w:t>родившихся</w:t>
      </w:r>
      <w:proofErr w:type="gramEnd"/>
      <w:r w:rsidRPr="00E74F8F">
        <w:rPr>
          <w:rFonts w:ascii="Times New Roman" w:hAnsi="Times New Roman" w:cs="Times New Roman"/>
          <w:b/>
        </w:rPr>
        <w:t xml:space="preserve"> живыми</w:t>
      </w:r>
    </w:p>
    <w:tbl>
      <w:tblPr>
        <w:tblW w:w="7350" w:type="dxa"/>
        <w:tblInd w:w="-5" w:type="dxa"/>
        <w:tblLayout w:type="fixed"/>
        <w:tblLook w:val="04A0" w:firstRow="1" w:lastRow="0" w:firstColumn="1" w:lastColumn="0" w:noHBand="0" w:noVBand="1"/>
      </w:tblPr>
      <w:tblGrid>
        <w:gridCol w:w="3093"/>
        <w:gridCol w:w="1419"/>
        <w:gridCol w:w="1419"/>
        <w:gridCol w:w="1419"/>
      </w:tblGrid>
      <w:tr w:rsidR="00E74F8F" w:rsidRPr="00E74F8F" w:rsidTr="00E74F8F">
        <w:trPr>
          <w:trHeight w:val="403"/>
        </w:trPr>
        <w:tc>
          <w:tcPr>
            <w:tcW w:w="3093" w:type="dxa"/>
            <w:tcBorders>
              <w:top w:val="single" w:sz="4" w:space="0" w:color="000000"/>
              <w:left w:val="single" w:sz="4" w:space="0" w:color="000000"/>
              <w:bottom w:val="single" w:sz="4" w:space="0" w:color="000000"/>
              <w:right w:val="nil"/>
            </w:tcBorders>
          </w:tcPr>
          <w:p w:rsidR="00E74F8F" w:rsidRPr="00E74F8F" w:rsidRDefault="00E74F8F">
            <w:pPr>
              <w:suppressAutoHyphens/>
              <w:snapToGrid w:val="0"/>
              <w:ind w:firstLine="720"/>
              <w:jc w:val="both"/>
              <w:rPr>
                <w:rFonts w:ascii="Times New Roman" w:hAnsi="Times New Roman" w:cs="Times New Roman"/>
                <w:sz w:val="24"/>
                <w:szCs w:val="24"/>
                <w:lang w:eastAsia="zh-CN"/>
              </w:rPr>
            </w:pPr>
          </w:p>
        </w:tc>
        <w:tc>
          <w:tcPr>
            <w:tcW w:w="1419"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1419"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1419"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r>
      <w:tr w:rsidR="00E74F8F" w:rsidRPr="00E74F8F" w:rsidTr="00E74F8F">
        <w:trPr>
          <w:trHeight w:val="274"/>
        </w:trPr>
        <w:tc>
          <w:tcPr>
            <w:tcW w:w="30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both"/>
              <w:rPr>
                <w:rFonts w:ascii="Times New Roman" w:hAnsi="Times New Roman" w:cs="Times New Roman"/>
                <w:sz w:val="24"/>
                <w:szCs w:val="24"/>
                <w:lang w:eastAsia="zh-CN"/>
              </w:rPr>
            </w:pPr>
            <w:r w:rsidRPr="00E74F8F">
              <w:rPr>
                <w:rFonts w:ascii="Times New Roman" w:hAnsi="Times New Roman" w:cs="Times New Roman"/>
              </w:rPr>
              <w:t>Липецкая  обл.</w:t>
            </w:r>
          </w:p>
        </w:tc>
        <w:tc>
          <w:tcPr>
            <w:tcW w:w="1419"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3,6</w:t>
            </w:r>
          </w:p>
        </w:tc>
        <w:tc>
          <w:tcPr>
            <w:tcW w:w="1419"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2,9</w:t>
            </w:r>
          </w:p>
        </w:tc>
        <w:tc>
          <w:tcPr>
            <w:tcW w:w="1419"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3,7</w:t>
            </w:r>
          </w:p>
        </w:tc>
      </w:tr>
      <w:tr w:rsidR="00E74F8F" w:rsidRPr="00E74F8F" w:rsidTr="00E74F8F">
        <w:trPr>
          <w:trHeight w:val="362"/>
        </w:trPr>
        <w:tc>
          <w:tcPr>
            <w:tcW w:w="30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both"/>
              <w:rPr>
                <w:rFonts w:ascii="Times New Roman" w:hAnsi="Times New Roman" w:cs="Times New Roman"/>
                <w:sz w:val="24"/>
                <w:szCs w:val="24"/>
                <w:lang w:eastAsia="zh-CN"/>
              </w:rPr>
            </w:pPr>
            <w:r w:rsidRPr="00E74F8F">
              <w:rPr>
                <w:rFonts w:ascii="Times New Roman" w:hAnsi="Times New Roman" w:cs="Times New Roman"/>
              </w:rPr>
              <w:t>Центральный  ФО</w:t>
            </w:r>
          </w:p>
        </w:tc>
        <w:tc>
          <w:tcPr>
            <w:tcW w:w="1419"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4,7</w:t>
            </w:r>
          </w:p>
        </w:tc>
        <w:tc>
          <w:tcPr>
            <w:tcW w:w="1419"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4,4</w:t>
            </w:r>
          </w:p>
        </w:tc>
        <w:tc>
          <w:tcPr>
            <w:tcW w:w="1419"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3,8</w:t>
            </w:r>
          </w:p>
        </w:tc>
      </w:tr>
      <w:tr w:rsidR="00E74F8F" w:rsidRPr="00E74F8F" w:rsidTr="00E74F8F">
        <w:trPr>
          <w:trHeight w:val="362"/>
        </w:trPr>
        <w:tc>
          <w:tcPr>
            <w:tcW w:w="3093"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both"/>
              <w:rPr>
                <w:rFonts w:ascii="Times New Roman" w:hAnsi="Times New Roman" w:cs="Times New Roman"/>
                <w:sz w:val="24"/>
                <w:szCs w:val="24"/>
                <w:lang w:eastAsia="zh-CN"/>
              </w:rPr>
            </w:pPr>
            <w:r w:rsidRPr="00E74F8F">
              <w:rPr>
                <w:rFonts w:ascii="Times New Roman" w:hAnsi="Times New Roman" w:cs="Times New Roman"/>
              </w:rPr>
              <w:t>Российская  Федерация</w:t>
            </w:r>
          </w:p>
        </w:tc>
        <w:tc>
          <w:tcPr>
            <w:tcW w:w="1419"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5,1</w:t>
            </w:r>
          </w:p>
        </w:tc>
        <w:tc>
          <w:tcPr>
            <w:tcW w:w="1419" w:type="dxa"/>
            <w:tcBorders>
              <w:top w:val="single" w:sz="4" w:space="0" w:color="000000"/>
              <w:left w:val="single" w:sz="4" w:space="0" w:color="000000"/>
              <w:bottom w:val="single" w:sz="4" w:space="0" w:color="000000"/>
              <w:right w:val="nil"/>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4,9</w:t>
            </w:r>
          </w:p>
        </w:tc>
        <w:tc>
          <w:tcPr>
            <w:tcW w:w="1419" w:type="dxa"/>
            <w:tcBorders>
              <w:top w:val="single" w:sz="4" w:space="0" w:color="000000"/>
              <w:left w:val="single" w:sz="4" w:space="0" w:color="000000"/>
              <w:bottom w:val="single" w:sz="4" w:space="0" w:color="000000"/>
              <w:right w:val="single" w:sz="4" w:space="0" w:color="000000"/>
            </w:tcBorders>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4,5</w:t>
            </w:r>
          </w:p>
        </w:tc>
      </w:tr>
    </w:tbl>
    <w:p w:rsidR="00E74F8F" w:rsidRPr="00E74F8F" w:rsidRDefault="00E74F8F" w:rsidP="00E74F8F">
      <w:pPr>
        <w:ind w:firstLine="720"/>
        <w:jc w:val="both"/>
        <w:rPr>
          <w:rFonts w:ascii="Times New Roman" w:hAnsi="Times New Roman" w:cs="Times New Roman"/>
          <w:lang w:eastAsia="zh-CN"/>
        </w:rPr>
      </w:pPr>
    </w:p>
    <w:p w:rsidR="00E74F8F" w:rsidRPr="00E74F8F" w:rsidRDefault="00E74F8F" w:rsidP="00E74F8F">
      <w:pPr>
        <w:ind w:firstLine="720"/>
        <w:jc w:val="both"/>
        <w:rPr>
          <w:rFonts w:ascii="Times New Roman" w:hAnsi="Times New Roman" w:cs="Times New Roman"/>
        </w:rPr>
      </w:pPr>
    </w:p>
    <w:p w:rsidR="00E74F8F" w:rsidRPr="00E74F8F" w:rsidRDefault="00E74F8F" w:rsidP="00E74F8F">
      <w:pPr>
        <w:ind w:firstLine="708"/>
        <w:jc w:val="both"/>
        <w:rPr>
          <w:rFonts w:ascii="Times New Roman" w:hAnsi="Times New Roman" w:cs="Times New Roman"/>
        </w:rPr>
      </w:pPr>
      <w:r w:rsidRPr="00E74F8F">
        <w:rPr>
          <w:rFonts w:ascii="Times New Roman" w:hAnsi="Times New Roman" w:cs="Times New Roman"/>
        </w:rPr>
        <w:t>Отмечается незначительный рост показателя младенческой смертности по области на 2,8% по сравнению с 2018 годом.</w:t>
      </w:r>
    </w:p>
    <w:p w:rsidR="00E74F8F" w:rsidRPr="00E74F8F" w:rsidRDefault="00E74F8F" w:rsidP="00E74F8F">
      <w:pPr>
        <w:ind w:firstLine="720"/>
        <w:jc w:val="right"/>
        <w:rPr>
          <w:rFonts w:ascii="Times New Roman" w:hAnsi="Times New Roman" w:cs="Times New Roman"/>
        </w:rPr>
      </w:pPr>
    </w:p>
    <w:p w:rsidR="00E74F8F" w:rsidRPr="00E74F8F" w:rsidRDefault="00E74F8F" w:rsidP="00E74F8F">
      <w:pPr>
        <w:ind w:firstLine="720"/>
        <w:jc w:val="right"/>
        <w:rPr>
          <w:rFonts w:ascii="Times New Roman" w:hAnsi="Times New Roman" w:cs="Times New Roman"/>
          <w:color w:val="000000"/>
        </w:rPr>
      </w:pPr>
    </w:p>
    <w:p w:rsidR="00E74F8F" w:rsidRPr="00E74F8F" w:rsidRDefault="00E74F8F" w:rsidP="00E74F8F">
      <w:pPr>
        <w:ind w:firstLine="720"/>
        <w:jc w:val="right"/>
        <w:rPr>
          <w:rFonts w:ascii="Times New Roman" w:hAnsi="Times New Roman" w:cs="Times New Roman"/>
          <w:b/>
        </w:rPr>
      </w:pPr>
      <w:r w:rsidRPr="00E74F8F">
        <w:rPr>
          <w:rFonts w:ascii="Times New Roman" w:hAnsi="Times New Roman" w:cs="Times New Roman"/>
        </w:rPr>
        <w:t>Диаграмма 3</w:t>
      </w:r>
    </w:p>
    <w:p w:rsidR="00E74F8F" w:rsidRPr="00E74F8F" w:rsidRDefault="00E74F8F" w:rsidP="00E74F8F">
      <w:pPr>
        <w:ind w:firstLine="708"/>
        <w:jc w:val="center"/>
        <w:rPr>
          <w:rFonts w:ascii="Times New Roman" w:hAnsi="Times New Roman" w:cs="Times New Roman"/>
          <w:b/>
        </w:rPr>
      </w:pPr>
      <w:r w:rsidRPr="00E74F8F">
        <w:rPr>
          <w:rFonts w:ascii="Times New Roman" w:hAnsi="Times New Roman" w:cs="Times New Roman"/>
          <w:noProof/>
        </w:rPr>
        <w:lastRenderedPageBreak/>
        <w:drawing>
          <wp:anchor distT="0" distB="0" distL="114300" distR="114300" simplePos="0" relativeHeight="251658240" behindDoc="0" locked="0" layoutInCell="1" allowOverlap="1" wp14:anchorId="141CCFA2" wp14:editId="30562743">
            <wp:simplePos x="0" y="0"/>
            <wp:positionH relativeFrom="column">
              <wp:posOffset>621665</wp:posOffset>
            </wp:positionH>
            <wp:positionV relativeFrom="paragraph">
              <wp:posOffset>548005</wp:posOffset>
            </wp:positionV>
            <wp:extent cx="5128260" cy="3245485"/>
            <wp:effectExtent l="2540" t="5080" r="0" b="0"/>
            <wp:wrapSquare wrapText="right"/>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E74F8F">
        <w:rPr>
          <w:rFonts w:ascii="Times New Roman" w:hAnsi="Times New Roman" w:cs="Times New Roman"/>
          <w:b/>
        </w:rPr>
        <w:t xml:space="preserve">Показатели младенческой смертности по Липецкой области в сравнении </w:t>
      </w:r>
      <w:proofErr w:type="gramStart"/>
      <w:r w:rsidRPr="00E74F8F">
        <w:rPr>
          <w:rFonts w:ascii="Times New Roman" w:hAnsi="Times New Roman" w:cs="Times New Roman"/>
          <w:b/>
        </w:rPr>
        <w:t>с</w:t>
      </w:r>
      <w:proofErr w:type="gramEnd"/>
    </w:p>
    <w:p w:rsidR="00E74F8F" w:rsidRPr="00E74F8F" w:rsidRDefault="00E74F8F" w:rsidP="00E74F8F">
      <w:pPr>
        <w:ind w:firstLine="708"/>
        <w:jc w:val="center"/>
        <w:rPr>
          <w:rFonts w:ascii="Times New Roman" w:hAnsi="Times New Roman" w:cs="Times New Roman"/>
        </w:rPr>
      </w:pPr>
      <w:r w:rsidRPr="00E74F8F">
        <w:rPr>
          <w:rFonts w:ascii="Times New Roman" w:hAnsi="Times New Roman" w:cs="Times New Roman"/>
          <w:b/>
        </w:rPr>
        <w:t xml:space="preserve"> показателями по ЦФО и Российской Федерации</w:t>
      </w:r>
    </w:p>
    <w:p w:rsidR="00E74F8F" w:rsidRPr="00E74F8F" w:rsidRDefault="00E74F8F" w:rsidP="00E74F8F">
      <w:pPr>
        <w:ind w:firstLine="708"/>
        <w:rPr>
          <w:rFonts w:ascii="Times New Roman" w:hAnsi="Times New Roman" w:cs="Times New Roman"/>
          <w:color w:val="800080"/>
        </w:rPr>
      </w:pPr>
      <w:bookmarkStart w:id="0" w:name="_1486303015"/>
      <w:bookmarkStart w:id="1" w:name="_1486301413"/>
      <w:bookmarkEnd w:id="0"/>
      <w:bookmarkEnd w:id="1"/>
    </w:p>
    <w:p w:rsidR="00E74F8F" w:rsidRPr="00E74F8F" w:rsidRDefault="00E74F8F" w:rsidP="00E74F8F">
      <w:pPr>
        <w:ind w:firstLine="708"/>
        <w:jc w:val="center"/>
        <w:rPr>
          <w:rFonts w:ascii="Times New Roman" w:hAnsi="Times New Roman" w:cs="Times New Roman"/>
          <w:color w:val="800080"/>
        </w:rPr>
      </w:pPr>
    </w:p>
    <w:p w:rsidR="00E74F8F" w:rsidRPr="00E74F8F" w:rsidRDefault="00E74F8F" w:rsidP="00E74F8F">
      <w:pPr>
        <w:ind w:firstLine="708"/>
        <w:jc w:val="both"/>
        <w:rPr>
          <w:rFonts w:ascii="Times New Roman" w:hAnsi="Times New Roman" w:cs="Times New Roman"/>
          <w:spacing w:val="-3"/>
        </w:rPr>
      </w:pPr>
      <w:r w:rsidRPr="00E74F8F">
        <w:rPr>
          <w:rFonts w:ascii="Times New Roman" w:hAnsi="Times New Roman" w:cs="Times New Roman"/>
        </w:rPr>
        <w:t>По данным Территориального органа Федеральной службы государственной статистики по Липецкой области лидирующее место в структуре младенческой смертности в 2020 году, как и в прошлые годы, занимают отдельные состояния перинатального периода – 51,4%, второе ранговое место – врожденные аномалии – 20,0%, третье ранговое место – внешние причины – 14,3%.</w:t>
      </w:r>
      <w:r w:rsidRPr="00E74F8F">
        <w:rPr>
          <w:rFonts w:ascii="Times New Roman" w:hAnsi="Times New Roman" w:cs="Times New Roman"/>
          <w:spacing w:val="-3"/>
        </w:rPr>
        <w:t xml:space="preserve"> </w:t>
      </w:r>
    </w:p>
    <w:p w:rsidR="00E74F8F" w:rsidRPr="00E74F8F" w:rsidRDefault="00E74F8F" w:rsidP="00E74F8F">
      <w:pPr>
        <w:ind w:firstLine="708"/>
        <w:jc w:val="center"/>
        <w:rPr>
          <w:rFonts w:ascii="Times New Roman" w:hAnsi="Times New Roman" w:cs="Times New Roman"/>
        </w:rPr>
      </w:pPr>
      <w:r w:rsidRPr="00E74F8F">
        <w:rPr>
          <w:rFonts w:ascii="Times New Roman" w:hAnsi="Times New Roman" w:cs="Times New Roman"/>
          <w:b/>
        </w:rPr>
        <w:t>Структура причин младенческой смертности на 10 000 родившихся живыми</w:t>
      </w:r>
    </w:p>
    <w:tbl>
      <w:tblPr>
        <w:tblW w:w="0" w:type="auto"/>
        <w:tblInd w:w="-5" w:type="dxa"/>
        <w:tblLayout w:type="fixed"/>
        <w:tblLook w:val="04A0" w:firstRow="1" w:lastRow="0" w:firstColumn="1" w:lastColumn="0" w:noHBand="0" w:noVBand="1"/>
      </w:tblPr>
      <w:tblGrid>
        <w:gridCol w:w="4252"/>
        <w:gridCol w:w="1701"/>
        <w:gridCol w:w="1701"/>
        <w:gridCol w:w="1701"/>
      </w:tblGrid>
      <w:tr w:rsidR="00E74F8F" w:rsidRPr="00E74F8F" w:rsidTr="00E74F8F">
        <w:trPr>
          <w:trHeight w:val="577"/>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pStyle w:val="1"/>
              <w:tabs>
                <w:tab w:val="left" w:pos="2080"/>
              </w:tabs>
              <w:jc w:val="center"/>
            </w:pPr>
            <w:r w:rsidRPr="00E74F8F">
              <w:rPr>
                <w:b w:val="0"/>
                <w:sz w:val="24"/>
              </w:rPr>
              <w:t>Причины</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2018 г.</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2019 г.</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2020 г.</w:t>
            </w:r>
          </w:p>
        </w:tc>
      </w:tr>
      <w:tr w:rsidR="00E74F8F" w:rsidRPr="00E74F8F" w:rsidTr="00E74F8F">
        <w:trPr>
          <w:trHeight w:val="708"/>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r w:rsidRPr="00E74F8F">
              <w:rPr>
                <w:rFonts w:ascii="Times New Roman" w:hAnsi="Times New Roman" w:cs="Times New Roman"/>
              </w:rPr>
              <w:t>Все причины</w:t>
            </w:r>
            <w:r w:rsidRPr="00E74F8F">
              <w:rPr>
                <w:rFonts w:ascii="Times New Roman" w:hAnsi="Times New Roman" w:cs="Times New Roman"/>
                <w:bCs/>
              </w:rPr>
              <w:t>:</w:t>
            </w:r>
          </w:p>
          <w:p w:rsidR="00E74F8F" w:rsidRPr="00E74F8F" w:rsidRDefault="00E74F8F">
            <w:pPr>
              <w:suppressAutoHyphens/>
              <w:rPr>
                <w:rFonts w:ascii="Times New Roman" w:hAnsi="Times New Roman" w:cs="Times New Roman"/>
                <w:bCs/>
                <w:sz w:val="24"/>
                <w:szCs w:val="24"/>
                <w:lang w:eastAsia="zh-CN"/>
              </w:rPr>
            </w:pPr>
            <w:proofErr w:type="spellStart"/>
            <w:r w:rsidRPr="00E74F8F">
              <w:rPr>
                <w:rFonts w:ascii="Times New Roman" w:hAnsi="Times New Roman" w:cs="Times New Roman"/>
                <w:bCs/>
              </w:rPr>
              <w:t>абс</w:t>
            </w:r>
            <w:proofErr w:type="spellEnd"/>
            <w:r w:rsidRPr="00E74F8F">
              <w:rPr>
                <w:rFonts w:ascii="Times New Roman" w:hAnsi="Times New Roman" w:cs="Times New Roman"/>
                <w:bCs/>
              </w:rPr>
              <w:t>. число,</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39</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35</w:t>
            </w:r>
          </w:p>
        </w:tc>
      </w:tr>
      <w:tr w:rsidR="00E74F8F" w:rsidRPr="00E74F8F" w:rsidTr="00E74F8F">
        <w:trPr>
          <w:trHeight w:val="531"/>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bCs/>
                <w:sz w:val="24"/>
                <w:szCs w:val="24"/>
                <w:lang w:eastAsia="zh-CN"/>
              </w:rPr>
            </w:pPr>
            <w:r w:rsidRPr="00E74F8F">
              <w:rPr>
                <w:rFonts w:ascii="Times New Roman" w:hAnsi="Times New Roman" w:cs="Times New Roman"/>
                <w:bCs/>
              </w:rPr>
              <w:t>на 10000 род</w:t>
            </w:r>
            <w:proofErr w:type="gramStart"/>
            <w:r w:rsidRPr="00E74F8F">
              <w:rPr>
                <w:rFonts w:ascii="Times New Roman" w:hAnsi="Times New Roman" w:cs="Times New Roman"/>
                <w:bCs/>
              </w:rPr>
              <w:t>.</w:t>
            </w:r>
            <w:proofErr w:type="gramEnd"/>
            <w:r w:rsidRPr="00E74F8F">
              <w:rPr>
                <w:rFonts w:ascii="Times New Roman" w:hAnsi="Times New Roman" w:cs="Times New Roman"/>
                <w:bCs/>
              </w:rPr>
              <w:t xml:space="preserve"> </w:t>
            </w:r>
            <w:proofErr w:type="gramStart"/>
            <w:r w:rsidRPr="00E74F8F">
              <w:rPr>
                <w:rFonts w:ascii="Times New Roman" w:hAnsi="Times New Roman" w:cs="Times New Roman"/>
                <w:bCs/>
              </w:rPr>
              <w:t>ж</w:t>
            </w:r>
            <w:proofErr w:type="gramEnd"/>
            <w:r w:rsidRPr="00E74F8F">
              <w:rPr>
                <w:rFonts w:ascii="Times New Roman" w:hAnsi="Times New Roman" w:cs="Times New Roman"/>
                <w:bCs/>
              </w:rPr>
              <w:t>ивыми</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35,5</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29,5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37,3</w:t>
            </w:r>
          </w:p>
        </w:tc>
      </w:tr>
      <w:tr w:rsidR="00E74F8F" w:rsidRPr="00E74F8F" w:rsidTr="00E74F8F">
        <w:trPr>
          <w:trHeight w:val="664"/>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r w:rsidRPr="00E74F8F">
              <w:rPr>
                <w:rFonts w:ascii="Times New Roman" w:hAnsi="Times New Roman" w:cs="Times New Roman"/>
                <w:bCs/>
              </w:rPr>
              <w:t xml:space="preserve">В </w:t>
            </w:r>
            <w:proofErr w:type="spellStart"/>
            <w:r w:rsidRPr="00E74F8F">
              <w:rPr>
                <w:rFonts w:ascii="Times New Roman" w:hAnsi="Times New Roman" w:cs="Times New Roman"/>
                <w:bCs/>
              </w:rPr>
              <w:t>т.ч</w:t>
            </w:r>
            <w:proofErr w:type="spellEnd"/>
            <w:r w:rsidRPr="00E74F8F">
              <w:rPr>
                <w:rFonts w:ascii="Times New Roman" w:hAnsi="Times New Roman" w:cs="Times New Roman"/>
                <w:bCs/>
              </w:rPr>
              <w:t xml:space="preserve">. </w:t>
            </w:r>
            <w:r w:rsidRPr="00E74F8F">
              <w:rPr>
                <w:rFonts w:ascii="Times New Roman" w:hAnsi="Times New Roman" w:cs="Times New Roman"/>
              </w:rPr>
              <w:t>инфекционные и паразитарные заболевания</w:t>
            </w:r>
            <w:r w:rsidRPr="00E74F8F">
              <w:rPr>
                <w:rFonts w:ascii="Times New Roman" w:hAnsi="Times New Roman" w:cs="Times New Roman"/>
                <w:bCs/>
              </w:rPr>
              <w:t xml:space="preserve">: </w:t>
            </w:r>
          </w:p>
          <w:p w:rsidR="00E74F8F" w:rsidRPr="00E74F8F" w:rsidRDefault="00E74F8F">
            <w:pPr>
              <w:suppressAutoHyphens/>
              <w:rPr>
                <w:rFonts w:ascii="Times New Roman" w:hAnsi="Times New Roman" w:cs="Times New Roman"/>
                <w:sz w:val="24"/>
                <w:szCs w:val="24"/>
                <w:lang w:eastAsia="zh-CN"/>
              </w:rPr>
            </w:pPr>
            <w:proofErr w:type="spellStart"/>
            <w:r w:rsidRPr="00E74F8F">
              <w:rPr>
                <w:rFonts w:ascii="Times New Roman" w:hAnsi="Times New Roman" w:cs="Times New Roman"/>
                <w:bCs/>
              </w:rPr>
              <w:t>абс</w:t>
            </w:r>
            <w:proofErr w:type="spellEnd"/>
            <w:r w:rsidRPr="00E74F8F">
              <w:rPr>
                <w:rFonts w:ascii="Times New Roman" w:hAnsi="Times New Roman" w:cs="Times New Roman"/>
                <w:bCs/>
              </w:rPr>
              <w:t>. число</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0</w:t>
            </w:r>
          </w:p>
        </w:tc>
      </w:tr>
      <w:tr w:rsidR="00E74F8F" w:rsidRPr="00E74F8F" w:rsidTr="00E74F8F">
        <w:trPr>
          <w:trHeight w:val="516"/>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bCs/>
              </w:rPr>
              <w:t>на 10 000 род</w:t>
            </w:r>
            <w:proofErr w:type="gramStart"/>
            <w:r w:rsidRPr="00E74F8F">
              <w:rPr>
                <w:rFonts w:ascii="Times New Roman" w:hAnsi="Times New Roman" w:cs="Times New Roman"/>
                <w:bCs/>
              </w:rPr>
              <w:t>.</w:t>
            </w:r>
            <w:proofErr w:type="gramEnd"/>
            <w:r w:rsidRPr="00E74F8F">
              <w:rPr>
                <w:rFonts w:ascii="Times New Roman" w:hAnsi="Times New Roman" w:cs="Times New Roman"/>
                <w:bCs/>
              </w:rPr>
              <w:t xml:space="preserve"> </w:t>
            </w:r>
            <w:proofErr w:type="gramStart"/>
            <w:r w:rsidRPr="00E74F8F">
              <w:rPr>
                <w:rFonts w:ascii="Times New Roman" w:hAnsi="Times New Roman" w:cs="Times New Roman"/>
                <w:bCs/>
              </w:rPr>
              <w:t>ж</w:t>
            </w:r>
            <w:proofErr w:type="gramEnd"/>
            <w:r w:rsidRPr="00E74F8F">
              <w:rPr>
                <w:rFonts w:ascii="Times New Roman" w:hAnsi="Times New Roman" w:cs="Times New Roman"/>
                <w:bCs/>
              </w:rPr>
              <w:t>ивыми</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0,9</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0</w:t>
            </w:r>
          </w:p>
        </w:tc>
      </w:tr>
      <w:tr w:rsidR="00E74F8F" w:rsidRPr="00E74F8F" w:rsidTr="00E74F8F">
        <w:trPr>
          <w:trHeight w:val="539"/>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r w:rsidRPr="00E74F8F">
              <w:rPr>
                <w:rFonts w:ascii="Times New Roman" w:hAnsi="Times New Roman" w:cs="Times New Roman"/>
              </w:rPr>
              <w:t>Болезни органов дыхания</w:t>
            </w:r>
            <w:r w:rsidRPr="00E74F8F">
              <w:rPr>
                <w:rFonts w:ascii="Times New Roman" w:hAnsi="Times New Roman" w:cs="Times New Roman"/>
                <w:bCs/>
              </w:rPr>
              <w:t>:</w:t>
            </w:r>
          </w:p>
          <w:p w:rsidR="00E74F8F" w:rsidRPr="00E74F8F" w:rsidRDefault="00E74F8F">
            <w:pPr>
              <w:suppressAutoHyphens/>
              <w:rPr>
                <w:rFonts w:ascii="Times New Roman" w:hAnsi="Times New Roman" w:cs="Times New Roman"/>
                <w:sz w:val="24"/>
                <w:szCs w:val="24"/>
                <w:lang w:eastAsia="zh-CN"/>
              </w:rPr>
            </w:pPr>
            <w:proofErr w:type="spellStart"/>
            <w:r w:rsidRPr="00E74F8F">
              <w:rPr>
                <w:rFonts w:ascii="Times New Roman" w:hAnsi="Times New Roman" w:cs="Times New Roman"/>
                <w:bCs/>
              </w:rPr>
              <w:t>абс</w:t>
            </w:r>
            <w:proofErr w:type="spellEnd"/>
            <w:r w:rsidRPr="00E74F8F">
              <w:rPr>
                <w:rFonts w:ascii="Times New Roman" w:hAnsi="Times New Roman" w:cs="Times New Roman"/>
                <w:bCs/>
              </w:rPr>
              <w:t>. число</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w:t>
            </w:r>
          </w:p>
        </w:tc>
      </w:tr>
      <w:tr w:rsidR="00E74F8F" w:rsidRPr="00E74F8F" w:rsidTr="00E74F8F">
        <w:trPr>
          <w:trHeight w:val="600"/>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bCs/>
              </w:rPr>
              <w:lastRenderedPageBreak/>
              <w:t>на 10 000 род</w:t>
            </w:r>
            <w:proofErr w:type="gramStart"/>
            <w:r w:rsidRPr="00E74F8F">
              <w:rPr>
                <w:rFonts w:ascii="Times New Roman" w:hAnsi="Times New Roman" w:cs="Times New Roman"/>
                <w:bCs/>
              </w:rPr>
              <w:t>.</w:t>
            </w:r>
            <w:proofErr w:type="gramEnd"/>
            <w:r w:rsidRPr="00E74F8F">
              <w:rPr>
                <w:rFonts w:ascii="Times New Roman" w:hAnsi="Times New Roman" w:cs="Times New Roman"/>
                <w:bCs/>
              </w:rPr>
              <w:t xml:space="preserve"> </w:t>
            </w:r>
            <w:proofErr w:type="gramStart"/>
            <w:r w:rsidRPr="00E74F8F">
              <w:rPr>
                <w:rFonts w:ascii="Times New Roman" w:hAnsi="Times New Roman" w:cs="Times New Roman"/>
                <w:bCs/>
              </w:rPr>
              <w:t>ж</w:t>
            </w:r>
            <w:proofErr w:type="gramEnd"/>
            <w:r w:rsidRPr="00E74F8F">
              <w:rPr>
                <w:rFonts w:ascii="Times New Roman" w:hAnsi="Times New Roman" w:cs="Times New Roman"/>
                <w:bCs/>
              </w:rPr>
              <w:t>ивыми</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0,9</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1,1</w:t>
            </w:r>
          </w:p>
        </w:tc>
      </w:tr>
      <w:tr w:rsidR="00E74F8F" w:rsidRPr="00E74F8F" w:rsidTr="00E74F8F">
        <w:trPr>
          <w:trHeight w:val="622"/>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r w:rsidRPr="00E74F8F">
              <w:rPr>
                <w:rFonts w:ascii="Times New Roman" w:hAnsi="Times New Roman" w:cs="Times New Roman"/>
              </w:rPr>
              <w:t>Врожденные аномалии</w:t>
            </w:r>
            <w:r w:rsidRPr="00E74F8F">
              <w:rPr>
                <w:rFonts w:ascii="Times New Roman" w:hAnsi="Times New Roman" w:cs="Times New Roman"/>
                <w:bCs/>
              </w:rPr>
              <w:t>:</w:t>
            </w:r>
          </w:p>
          <w:p w:rsidR="00E74F8F" w:rsidRPr="00E74F8F" w:rsidRDefault="00E74F8F">
            <w:pPr>
              <w:suppressAutoHyphens/>
              <w:rPr>
                <w:rFonts w:ascii="Times New Roman" w:hAnsi="Times New Roman" w:cs="Times New Roman"/>
                <w:sz w:val="24"/>
                <w:szCs w:val="24"/>
                <w:lang w:eastAsia="zh-CN"/>
              </w:rPr>
            </w:pPr>
            <w:proofErr w:type="spellStart"/>
            <w:r w:rsidRPr="00E74F8F">
              <w:rPr>
                <w:rFonts w:ascii="Times New Roman" w:hAnsi="Times New Roman" w:cs="Times New Roman"/>
                <w:bCs/>
              </w:rPr>
              <w:t>абс</w:t>
            </w:r>
            <w:proofErr w:type="spellEnd"/>
            <w:r w:rsidRPr="00E74F8F">
              <w:rPr>
                <w:rFonts w:ascii="Times New Roman" w:hAnsi="Times New Roman" w:cs="Times New Roman"/>
                <w:bCs/>
              </w:rPr>
              <w:t>. число</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6</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7</w:t>
            </w:r>
          </w:p>
        </w:tc>
      </w:tr>
      <w:tr w:rsidR="00E74F8F" w:rsidRPr="00E74F8F" w:rsidTr="00E74F8F">
        <w:trPr>
          <w:trHeight w:val="403"/>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bCs/>
              </w:rPr>
              <w:t>на 10 000 род</w:t>
            </w:r>
            <w:proofErr w:type="gramStart"/>
            <w:r w:rsidRPr="00E74F8F">
              <w:rPr>
                <w:rFonts w:ascii="Times New Roman" w:hAnsi="Times New Roman" w:cs="Times New Roman"/>
                <w:bCs/>
              </w:rPr>
              <w:t>.</w:t>
            </w:r>
            <w:proofErr w:type="gramEnd"/>
            <w:r w:rsidRPr="00E74F8F">
              <w:rPr>
                <w:rFonts w:ascii="Times New Roman" w:hAnsi="Times New Roman" w:cs="Times New Roman"/>
                <w:bCs/>
              </w:rPr>
              <w:t xml:space="preserve"> </w:t>
            </w:r>
            <w:proofErr w:type="gramStart"/>
            <w:r w:rsidRPr="00E74F8F">
              <w:rPr>
                <w:rFonts w:ascii="Times New Roman" w:hAnsi="Times New Roman" w:cs="Times New Roman"/>
                <w:bCs/>
              </w:rPr>
              <w:t>ж</w:t>
            </w:r>
            <w:proofErr w:type="gramEnd"/>
            <w:r w:rsidRPr="00E74F8F">
              <w:rPr>
                <w:rFonts w:ascii="Times New Roman" w:hAnsi="Times New Roman" w:cs="Times New Roman"/>
                <w:bCs/>
              </w:rPr>
              <w:t>ивыми</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5,5</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4,1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7,4</w:t>
            </w:r>
          </w:p>
        </w:tc>
      </w:tr>
      <w:tr w:rsidR="00E74F8F" w:rsidRPr="00E74F8F" w:rsidTr="00E74F8F">
        <w:trPr>
          <w:trHeight w:val="523"/>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r w:rsidRPr="00E74F8F">
              <w:rPr>
                <w:rFonts w:ascii="Times New Roman" w:hAnsi="Times New Roman" w:cs="Times New Roman"/>
              </w:rPr>
              <w:t>Отдельные состояния перинатального периода:</w:t>
            </w:r>
          </w:p>
          <w:p w:rsidR="00E74F8F" w:rsidRPr="00E74F8F" w:rsidRDefault="00E74F8F">
            <w:pPr>
              <w:suppressAutoHyphens/>
              <w:rPr>
                <w:rFonts w:ascii="Times New Roman" w:hAnsi="Times New Roman" w:cs="Times New Roman"/>
                <w:sz w:val="24"/>
                <w:szCs w:val="24"/>
                <w:lang w:eastAsia="zh-CN"/>
              </w:rPr>
            </w:pPr>
            <w:proofErr w:type="spellStart"/>
            <w:r w:rsidRPr="00E74F8F">
              <w:rPr>
                <w:rFonts w:ascii="Times New Roman" w:hAnsi="Times New Roman" w:cs="Times New Roman"/>
                <w:bCs/>
              </w:rPr>
              <w:t>абс</w:t>
            </w:r>
            <w:proofErr w:type="spellEnd"/>
            <w:r w:rsidRPr="00E74F8F">
              <w:rPr>
                <w:rFonts w:ascii="Times New Roman" w:hAnsi="Times New Roman" w:cs="Times New Roman"/>
                <w:bCs/>
              </w:rPr>
              <w:t>. число</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23</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color w:val="000000"/>
                <w:sz w:val="24"/>
                <w:szCs w:val="24"/>
                <w:lang w:eastAsia="zh-CN"/>
              </w:rPr>
            </w:pPr>
            <w:r w:rsidRPr="00E74F8F">
              <w:rPr>
                <w:rFonts w:ascii="Times New Roman" w:hAnsi="Times New Roman" w:cs="Times New Roman"/>
                <w:color w:val="000000"/>
              </w:rPr>
              <w:t>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18</w:t>
            </w:r>
          </w:p>
        </w:tc>
      </w:tr>
      <w:tr w:rsidR="00E74F8F" w:rsidRPr="00E74F8F" w:rsidTr="00E74F8F">
        <w:trPr>
          <w:trHeight w:val="598"/>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bCs/>
              </w:rPr>
              <w:t>на 10 000 род</w:t>
            </w:r>
            <w:proofErr w:type="gramStart"/>
            <w:r w:rsidRPr="00E74F8F">
              <w:rPr>
                <w:rFonts w:ascii="Times New Roman" w:hAnsi="Times New Roman" w:cs="Times New Roman"/>
                <w:bCs/>
              </w:rPr>
              <w:t>.</w:t>
            </w:r>
            <w:proofErr w:type="gramEnd"/>
            <w:r w:rsidRPr="00E74F8F">
              <w:rPr>
                <w:rFonts w:ascii="Times New Roman" w:hAnsi="Times New Roman" w:cs="Times New Roman"/>
                <w:bCs/>
              </w:rPr>
              <w:t xml:space="preserve"> </w:t>
            </w:r>
            <w:proofErr w:type="gramStart"/>
            <w:r w:rsidRPr="00E74F8F">
              <w:rPr>
                <w:rFonts w:ascii="Times New Roman" w:hAnsi="Times New Roman" w:cs="Times New Roman"/>
                <w:bCs/>
              </w:rPr>
              <w:t>ж</w:t>
            </w:r>
            <w:proofErr w:type="gramEnd"/>
            <w:r w:rsidRPr="00E74F8F">
              <w:rPr>
                <w:rFonts w:ascii="Times New Roman" w:hAnsi="Times New Roman" w:cs="Times New Roman"/>
                <w:bCs/>
              </w:rPr>
              <w:t>ивыми</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20,9</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color w:val="000000"/>
                <w:sz w:val="24"/>
                <w:szCs w:val="24"/>
                <w:lang w:eastAsia="zh-CN"/>
              </w:rPr>
            </w:pPr>
            <w:r w:rsidRPr="00E74F8F">
              <w:rPr>
                <w:rFonts w:ascii="Times New Roman" w:hAnsi="Times New Roman" w:cs="Times New Roman"/>
                <w:color w:val="000000"/>
              </w:rPr>
              <w:t>15,2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19,2</w:t>
            </w:r>
          </w:p>
        </w:tc>
      </w:tr>
      <w:tr w:rsidR="00E74F8F" w:rsidRPr="00E74F8F" w:rsidTr="00E74F8F">
        <w:trPr>
          <w:trHeight w:val="579"/>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rPr>
                <w:rFonts w:ascii="Times New Roman" w:hAnsi="Times New Roman" w:cs="Times New Roman"/>
                <w:bCs/>
                <w:sz w:val="24"/>
                <w:szCs w:val="24"/>
                <w:lang w:eastAsia="zh-CN"/>
              </w:rPr>
            </w:pPr>
            <w:r w:rsidRPr="00E74F8F">
              <w:rPr>
                <w:rFonts w:ascii="Times New Roman" w:hAnsi="Times New Roman" w:cs="Times New Roman"/>
              </w:rPr>
              <w:t>Внешние причины:</w:t>
            </w:r>
          </w:p>
          <w:p w:rsidR="00E74F8F" w:rsidRPr="00E74F8F" w:rsidRDefault="00E74F8F">
            <w:pPr>
              <w:suppressAutoHyphens/>
              <w:rPr>
                <w:rFonts w:ascii="Times New Roman" w:hAnsi="Times New Roman" w:cs="Times New Roman"/>
                <w:sz w:val="24"/>
                <w:szCs w:val="24"/>
                <w:lang w:eastAsia="zh-CN"/>
              </w:rPr>
            </w:pPr>
            <w:proofErr w:type="spellStart"/>
            <w:r w:rsidRPr="00E74F8F">
              <w:rPr>
                <w:rFonts w:ascii="Times New Roman" w:hAnsi="Times New Roman" w:cs="Times New Roman"/>
                <w:bCs/>
              </w:rPr>
              <w:t>абс</w:t>
            </w:r>
            <w:proofErr w:type="spellEnd"/>
            <w:r w:rsidRPr="00E74F8F">
              <w:rPr>
                <w:rFonts w:ascii="Times New Roman" w:hAnsi="Times New Roman" w:cs="Times New Roman"/>
                <w:bCs/>
              </w:rPr>
              <w:t>. число</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w:t>
            </w:r>
          </w:p>
        </w:tc>
      </w:tr>
      <w:tr w:rsidR="00E74F8F" w:rsidRPr="00E74F8F" w:rsidTr="00E74F8F">
        <w:trPr>
          <w:trHeight w:val="524"/>
        </w:trPr>
        <w:tc>
          <w:tcPr>
            <w:tcW w:w="4252"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rPr>
                <w:rFonts w:ascii="Times New Roman" w:hAnsi="Times New Roman" w:cs="Times New Roman"/>
                <w:sz w:val="24"/>
                <w:szCs w:val="24"/>
                <w:lang w:eastAsia="zh-CN"/>
              </w:rPr>
            </w:pPr>
            <w:r w:rsidRPr="00E74F8F">
              <w:rPr>
                <w:rFonts w:ascii="Times New Roman" w:hAnsi="Times New Roman" w:cs="Times New Roman"/>
                <w:bCs/>
              </w:rPr>
              <w:t>на 10 000 род</w:t>
            </w:r>
            <w:proofErr w:type="gramStart"/>
            <w:r w:rsidRPr="00E74F8F">
              <w:rPr>
                <w:rFonts w:ascii="Times New Roman" w:hAnsi="Times New Roman" w:cs="Times New Roman"/>
                <w:bCs/>
              </w:rPr>
              <w:t>.</w:t>
            </w:r>
            <w:proofErr w:type="gramEnd"/>
            <w:r w:rsidRPr="00E74F8F">
              <w:rPr>
                <w:rFonts w:ascii="Times New Roman" w:hAnsi="Times New Roman" w:cs="Times New Roman"/>
                <w:bCs/>
              </w:rPr>
              <w:t xml:space="preserve"> </w:t>
            </w:r>
            <w:proofErr w:type="gramStart"/>
            <w:r w:rsidRPr="00E74F8F">
              <w:rPr>
                <w:rFonts w:ascii="Times New Roman" w:hAnsi="Times New Roman" w:cs="Times New Roman"/>
                <w:bCs/>
              </w:rPr>
              <w:t>ж</w:t>
            </w:r>
            <w:proofErr w:type="gramEnd"/>
            <w:r w:rsidRPr="00E74F8F">
              <w:rPr>
                <w:rFonts w:ascii="Times New Roman" w:hAnsi="Times New Roman" w:cs="Times New Roman"/>
                <w:bCs/>
              </w:rPr>
              <w:t>ивыми</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nil"/>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4F8F" w:rsidRPr="00E74F8F" w:rsidRDefault="00E74F8F">
            <w:pPr>
              <w:suppressAutoHyphens/>
              <w:jc w:val="center"/>
              <w:rPr>
                <w:rFonts w:ascii="Times New Roman" w:hAnsi="Times New Roman" w:cs="Times New Roman"/>
                <w:sz w:val="24"/>
                <w:szCs w:val="24"/>
                <w:lang w:eastAsia="zh-CN"/>
              </w:rPr>
            </w:pPr>
            <w:r w:rsidRPr="00E74F8F">
              <w:rPr>
                <w:rFonts w:ascii="Times New Roman" w:hAnsi="Times New Roman" w:cs="Times New Roman"/>
              </w:rPr>
              <w:t>5,3</w:t>
            </w:r>
          </w:p>
        </w:tc>
      </w:tr>
    </w:tbl>
    <w:p w:rsidR="00E74F8F" w:rsidRPr="00E74F8F" w:rsidRDefault="00E74F8F" w:rsidP="00E74F8F">
      <w:pPr>
        <w:ind w:firstLine="708"/>
        <w:jc w:val="both"/>
        <w:rPr>
          <w:rFonts w:ascii="Times New Roman" w:hAnsi="Times New Roman" w:cs="Times New Roman"/>
          <w:color w:val="FF0000"/>
          <w:lang w:eastAsia="zh-CN"/>
        </w:rPr>
      </w:pPr>
    </w:p>
    <w:p w:rsidR="00712E6C" w:rsidRDefault="00E74F8F" w:rsidP="00712E6C">
      <w:pPr>
        <w:spacing w:after="0" w:line="240" w:lineRule="auto"/>
        <w:ind w:firstLine="709"/>
        <w:jc w:val="both"/>
        <w:rPr>
          <w:rFonts w:ascii="Times New Roman" w:hAnsi="Times New Roman" w:cs="Times New Roman"/>
        </w:rPr>
      </w:pPr>
      <w:proofErr w:type="gramStart"/>
      <w:r w:rsidRPr="00E74F8F">
        <w:rPr>
          <w:rFonts w:ascii="Times New Roman" w:hAnsi="Times New Roman" w:cs="Times New Roman"/>
        </w:rPr>
        <w:t>Следует отметить, что в 2020 году возросла смертность детей в возрасте до одного года от врожденных аномалий в сравнении с 2018 годом на 34,5% (с 5,5 в 2018 г. до 7,4 в 2020 г. на 10 000 родившихся живыми), что обусловлено отказом женщин от прерывания беременности по показаниям.</w:t>
      </w:r>
      <w:proofErr w:type="gramEnd"/>
    </w:p>
    <w:p w:rsidR="00E74F8F" w:rsidRPr="00E74F8F" w:rsidRDefault="00E74F8F" w:rsidP="00712E6C">
      <w:pPr>
        <w:spacing w:after="0" w:line="240" w:lineRule="auto"/>
        <w:ind w:firstLine="709"/>
        <w:jc w:val="both"/>
        <w:rPr>
          <w:rFonts w:ascii="Times New Roman" w:hAnsi="Times New Roman" w:cs="Times New Roman"/>
        </w:rPr>
      </w:pPr>
      <w:r w:rsidRPr="00E74F8F">
        <w:rPr>
          <w:rFonts w:ascii="Times New Roman" w:hAnsi="Times New Roman" w:cs="Times New Roman"/>
        </w:rPr>
        <w:t xml:space="preserve"> Результаты работы кабинета катамнестического наблюдения в ГУЗ «Областная детская больница», в котором осуществляется наблюдение детей, родившихся недоношенными, с низкой и экстремально низкой массой тела, перенесших критические состояния в раннем неонатальном периоде подтвердили необходимость и актуальность данного направления.  В 2020 году в кабинете принято </w:t>
      </w:r>
      <w:proofErr w:type="spellStart"/>
      <w:proofErr w:type="gramStart"/>
      <w:r w:rsidRPr="00E74F8F">
        <w:rPr>
          <w:rFonts w:ascii="Times New Roman" w:hAnsi="Times New Roman" w:cs="Times New Roman"/>
        </w:rPr>
        <w:t>принято</w:t>
      </w:r>
      <w:proofErr w:type="spellEnd"/>
      <w:proofErr w:type="gramEnd"/>
      <w:r w:rsidRPr="00E74F8F">
        <w:rPr>
          <w:rFonts w:ascii="Times New Roman" w:hAnsi="Times New Roman" w:cs="Times New Roman"/>
        </w:rPr>
        <w:t xml:space="preserve"> 2 653 ребенка (2018 г. – 1740 детей, 2019 г. -2443).</w:t>
      </w:r>
    </w:p>
    <w:p w:rsidR="00E74F8F" w:rsidRPr="00E74F8F" w:rsidRDefault="00E74F8F" w:rsidP="00E74F8F">
      <w:pPr>
        <w:spacing w:line="240" w:lineRule="auto"/>
        <w:ind w:firstLine="708"/>
        <w:contextualSpacing/>
        <w:jc w:val="both"/>
        <w:rPr>
          <w:rFonts w:ascii="Times New Roman" w:hAnsi="Times New Roman" w:cs="Times New Roman"/>
          <w:sz w:val="28"/>
          <w:szCs w:val="28"/>
        </w:rPr>
      </w:pPr>
      <w:r w:rsidRPr="00E74F8F">
        <w:rPr>
          <w:rFonts w:ascii="Times New Roman" w:hAnsi="Times New Roman" w:cs="Times New Roman"/>
        </w:rPr>
        <w:t xml:space="preserve">К 1 году 78% детей имеют нормальную массу тела и нормальное психомоторное развитие. Отмечается снижение процента детей, проходящих курсы восстановительной терапии в стационаре, что можно объяснить увеличением доли количества взятых детей под наблюдение со сроком </w:t>
      </w:r>
      <w:proofErr w:type="spellStart"/>
      <w:r w:rsidRPr="00E74F8F">
        <w:rPr>
          <w:rFonts w:ascii="Times New Roman" w:hAnsi="Times New Roman" w:cs="Times New Roman"/>
        </w:rPr>
        <w:t>гестации</w:t>
      </w:r>
      <w:proofErr w:type="spellEnd"/>
      <w:r w:rsidRPr="00E74F8F">
        <w:rPr>
          <w:rFonts w:ascii="Times New Roman" w:hAnsi="Times New Roman" w:cs="Times New Roman"/>
        </w:rPr>
        <w:t xml:space="preserve"> 36 недель, не требующих стационарной реабилитации</w:t>
      </w:r>
      <w:r w:rsidRPr="00E74F8F">
        <w:rPr>
          <w:rFonts w:ascii="Times New Roman" w:hAnsi="Times New Roman" w:cs="Times New Roman"/>
          <w:sz w:val="28"/>
          <w:szCs w:val="28"/>
        </w:rPr>
        <w:t>.</w:t>
      </w:r>
    </w:p>
    <w:p w:rsidR="00E74F8F" w:rsidRPr="00E74F8F" w:rsidRDefault="00E74F8F" w:rsidP="00E74F8F">
      <w:pPr>
        <w:spacing w:line="240" w:lineRule="auto"/>
        <w:ind w:firstLine="708"/>
        <w:contextualSpacing/>
        <w:jc w:val="both"/>
        <w:rPr>
          <w:rFonts w:ascii="Times New Roman" w:hAnsi="Times New Roman" w:cs="Times New Roman"/>
          <w:sz w:val="24"/>
          <w:szCs w:val="24"/>
        </w:rPr>
      </w:pPr>
      <w:r w:rsidRPr="00E74F8F">
        <w:rPr>
          <w:rFonts w:ascii="Times New Roman" w:hAnsi="Times New Roman" w:cs="Times New Roman"/>
        </w:rPr>
        <w:t xml:space="preserve">Большой вклад в оказании неотложной помощи детям и выхаживании новорожденных вносит консультативно-реанимационная бригада ГУЗ «Областная детская больница». Всего в 2020 году бригадой осуществлено 198 выездов (2019 г. – 171, 2018г. – 226 выездов). 43% выездов осуществлены к детям первого года жизни, из них, 88% выездов - в учреждения родовспоможения. </w:t>
      </w:r>
    </w:p>
    <w:p w:rsidR="00E74F8F" w:rsidRPr="00E74F8F" w:rsidRDefault="00E74F8F" w:rsidP="00E74F8F">
      <w:pPr>
        <w:spacing w:line="240" w:lineRule="auto"/>
        <w:ind w:firstLine="709"/>
        <w:contextualSpacing/>
        <w:jc w:val="both"/>
        <w:rPr>
          <w:rFonts w:ascii="Times New Roman" w:hAnsi="Times New Roman" w:cs="Times New Roman"/>
          <w:b/>
        </w:rPr>
      </w:pPr>
      <w:r w:rsidRPr="00E74F8F">
        <w:rPr>
          <w:rFonts w:ascii="Times New Roman" w:hAnsi="Times New Roman" w:cs="Times New Roman"/>
        </w:rPr>
        <w:t>Доступность специализированной и квалифицированной врачебной помощи детям отдаленных сельских районов по 28 специальностям обеспечивается силами</w:t>
      </w:r>
      <w:r w:rsidRPr="00E74F8F">
        <w:rPr>
          <w:rFonts w:ascii="Times New Roman" w:hAnsi="Times New Roman" w:cs="Times New Roman"/>
          <w:spacing w:val="4"/>
        </w:rPr>
        <w:t xml:space="preserve"> </w:t>
      </w:r>
      <w:r w:rsidRPr="00E74F8F">
        <w:rPr>
          <w:rFonts w:ascii="Times New Roman" w:hAnsi="Times New Roman" w:cs="Times New Roman"/>
        </w:rPr>
        <w:t xml:space="preserve">выездной поликлиники «Здоровье» </w:t>
      </w:r>
      <w:r w:rsidRPr="00E74F8F">
        <w:rPr>
          <w:rFonts w:ascii="Times New Roman" w:hAnsi="Times New Roman" w:cs="Times New Roman"/>
          <w:spacing w:val="4"/>
        </w:rPr>
        <w:t xml:space="preserve">ГУЗ «Областная детская больница». </w:t>
      </w:r>
      <w:r w:rsidRPr="00E74F8F">
        <w:rPr>
          <w:rFonts w:ascii="Times New Roman" w:hAnsi="Times New Roman" w:cs="Times New Roman"/>
        </w:rPr>
        <w:t xml:space="preserve"> В 2020 году проведено 19 выездов в районы области, во время которых сделано 2593 посещения к врачам различных специальностей (2019г. - 40 выездов- 6427 посещений, 2018г. - 32 выезда – 5183 посещения</w:t>
      </w:r>
      <w:proofErr w:type="gramStart"/>
      <w:r w:rsidRPr="00E74F8F">
        <w:rPr>
          <w:rFonts w:ascii="Times New Roman" w:hAnsi="Times New Roman" w:cs="Times New Roman"/>
        </w:rPr>
        <w:t>,)</w:t>
      </w:r>
      <w:proofErr w:type="gramEnd"/>
    </w:p>
    <w:p w:rsidR="00E74F8F" w:rsidRPr="00E74F8F" w:rsidRDefault="00E74F8F" w:rsidP="00E74F8F">
      <w:pPr>
        <w:spacing w:line="240" w:lineRule="auto"/>
        <w:ind w:firstLine="720"/>
        <w:contextualSpacing/>
        <w:jc w:val="both"/>
        <w:rPr>
          <w:rFonts w:ascii="Times New Roman" w:hAnsi="Times New Roman" w:cs="Times New Roman"/>
        </w:rPr>
      </w:pPr>
      <w:r w:rsidRPr="00E74F8F">
        <w:rPr>
          <w:rFonts w:ascii="Times New Roman" w:hAnsi="Times New Roman" w:cs="Times New Roman"/>
        </w:rPr>
        <w:t xml:space="preserve">Целенаправленные усилия по профилактике распространения в детской и подростковой среде болезней, передающихся половым путем, позволили на протяжении последних лет сохранять тенденцию к снижению заболеваемости. </w:t>
      </w:r>
    </w:p>
    <w:p w:rsidR="00E74F8F" w:rsidRPr="00E74F8F" w:rsidRDefault="00E74F8F" w:rsidP="00E74F8F">
      <w:pPr>
        <w:spacing w:line="240" w:lineRule="auto"/>
        <w:ind w:firstLine="720"/>
        <w:contextualSpacing/>
        <w:jc w:val="both"/>
        <w:rPr>
          <w:rFonts w:ascii="Times New Roman" w:hAnsi="Times New Roman" w:cs="Times New Roman"/>
        </w:rPr>
      </w:pPr>
      <w:r w:rsidRPr="00E74F8F">
        <w:rPr>
          <w:rFonts w:ascii="Times New Roman" w:hAnsi="Times New Roman" w:cs="Times New Roman"/>
          <w:color w:val="FF0000"/>
        </w:rPr>
        <w:t xml:space="preserve"> </w:t>
      </w:r>
      <w:r w:rsidRPr="00E74F8F">
        <w:rPr>
          <w:rFonts w:ascii="Times New Roman" w:hAnsi="Times New Roman" w:cs="Times New Roman"/>
        </w:rPr>
        <w:t xml:space="preserve">Улучшение эпидемиологической ситуации по туберкулезу является    одним из приоритетных направлений работы администрации Липецкой области в сфере здравоохранения. Заболеваемость туберкулезом среди детского населения (0-14 лет) в 2020 году составила 3,3 на 100 тыс. детского населения (2019 г. – 3,2, 2018 г. -  5,4 на 100 тыс. детского населения). Впервые выявлен туберкулез у 6 детей. Снижение заболеваемости туберкулезом у детей обусловлен внедрением в новых методик </w:t>
      </w:r>
      <w:proofErr w:type="gramStart"/>
      <w:r w:rsidRPr="00E74F8F">
        <w:rPr>
          <w:rFonts w:ascii="Times New Roman" w:hAnsi="Times New Roman" w:cs="Times New Roman"/>
        </w:rPr>
        <w:t>диагностики</w:t>
      </w:r>
      <w:proofErr w:type="gramEnd"/>
      <w:r w:rsidRPr="00E74F8F">
        <w:rPr>
          <w:rFonts w:ascii="Times New Roman" w:hAnsi="Times New Roman" w:cs="Times New Roman"/>
        </w:rPr>
        <w:t xml:space="preserve"> таких как </w:t>
      </w:r>
      <w:proofErr w:type="spellStart"/>
      <w:r w:rsidRPr="00E74F8F">
        <w:rPr>
          <w:rFonts w:ascii="Times New Roman" w:hAnsi="Times New Roman" w:cs="Times New Roman"/>
        </w:rPr>
        <w:t>диаскин</w:t>
      </w:r>
      <w:proofErr w:type="spellEnd"/>
      <w:r w:rsidRPr="00E74F8F">
        <w:rPr>
          <w:rFonts w:ascii="Times New Roman" w:hAnsi="Times New Roman" w:cs="Times New Roman"/>
        </w:rPr>
        <w:t>-тест, что в итоге подтверждает его диагностическую значимость.</w:t>
      </w:r>
    </w:p>
    <w:p w:rsidR="00E74F8F" w:rsidRPr="00E74F8F" w:rsidRDefault="00E74F8F" w:rsidP="00E74F8F">
      <w:pPr>
        <w:spacing w:line="240" w:lineRule="auto"/>
        <w:ind w:firstLine="720"/>
        <w:contextualSpacing/>
        <w:jc w:val="both"/>
        <w:rPr>
          <w:rFonts w:ascii="Times New Roman" w:hAnsi="Times New Roman" w:cs="Times New Roman"/>
        </w:rPr>
      </w:pPr>
      <w:r w:rsidRPr="00E74F8F">
        <w:rPr>
          <w:rFonts w:ascii="Times New Roman" w:hAnsi="Times New Roman" w:cs="Times New Roman"/>
        </w:rPr>
        <w:lastRenderedPageBreak/>
        <w:t xml:space="preserve">Осложненные формы туберкулеза среди детей не регистрировались. У всех 6 детей  клинико-рентгенологическое течение процесса с благоприятным прогнозом на полное клиническое излечение. </w:t>
      </w:r>
    </w:p>
    <w:p w:rsidR="00E74F8F" w:rsidRPr="00E74F8F" w:rsidRDefault="00E74F8F" w:rsidP="00E74F8F">
      <w:pPr>
        <w:spacing w:line="240" w:lineRule="auto"/>
        <w:ind w:firstLine="720"/>
        <w:contextualSpacing/>
        <w:jc w:val="both"/>
        <w:rPr>
          <w:rFonts w:ascii="Times New Roman" w:hAnsi="Times New Roman" w:cs="Times New Roman"/>
        </w:rPr>
      </w:pPr>
      <w:r w:rsidRPr="00E74F8F">
        <w:rPr>
          <w:rFonts w:ascii="Times New Roman" w:hAnsi="Times New Roman" w:cs="Times New Roman"/>
        </w:rPr>
        <w:t>Заболеваемость туберкулезом среди подросткового населения в 2020 году не зарегистрирована (2019 г. - 12,5, 2018 г. – 9,6 на 100 тыс. подросткового населения). В патогенезе подросткового туберкулеза имеет большое значение возрастные особенности (гормональная перестройка, стрессовые ситуации, связанные с образовательным процессом), которые способствуют развитию заболевания на фоне ранней инфицированности туберкулезной инфекцией.</w:t>
      </w:r>
    </w:p>
    <w:p w:rsidR="00E74F8F" w:rsidRPr="00E74F8F" w:rsidRDefault="00E74F8F" w:rsidP="00E74F8F">
      <w:pPr>
        <w:spacing w:line="240" w:lineRule="auto"/>
        <w:ind w:firstLine="720"/>
        <w:contextualSpacing/>
        <w:jc w:val="both"/>
        <w:rPr>
          <w:rFonts w:ascii="Times New Roman" w:hAnsi="Times New Roman" w:cs="Times New Roman"/>
        </w:rPr>
      </w:pPr>
      <w:r w:rsidRPr="00E74F8F">
        <w:rPr>
          <w:rFonts w:ascii="Times New Roman" w:hAnsi="Times New Roman" w:cs="Times New Roman"/>
        </w:rPr>
        <w:t xml:space="preserve">В области во всех календарных возрастах поддерживается                            </w:t>
      </w:r>
      <w:proofErr w:type="spellStart"/>
      <w:r w:rsidRPr="00E74F8F">
        <w:rPr>
          <w:rFonts w:ascii="Times New Roman" w:hAnsi="Times New Roman" w:cs="Times New Roman"/>
        </w:rPr>
        <w:t>эпидемиологически</w:t>
      </w:r>
      <w:proofErr w:type="spellEnd"/>
      <w:r w:rsidRPr="00E74F8F">
        <w:rPr>
          <w:rFonts w:ascii="Times New Roman" w:hAnsi="Times New Roman" w:cs="Times New Roman"/>
        </w:rPr>
        <w:t xml:space="preserve"> эффективный (95% и выше) уровень охвата профилактическими прививками против дифтерии, коклюша, полиомиелита, кори, эпидемического паротита, краснухи, столбняка. Проведение сезонной иммунопрофилактики против гриппа у детей также позволило добиться положительных результатов в состоянии здоровья маленьких пациентов.</w:t>
      </w:r>
    </w:p>
    <w:p w:rsidR="00E74F8F" w:rsidRPr="00E74F8F" w:rsidRDefault="00E74F8F" w:rsidP="00E74F8F">
      <w:pPr>
        <w:pStyle w:val="a7"/>
        <w:suppressAutoHyphens/>
        <w:ind w:left="0" w:firstLine="709"/>
        <w:jc w:val="both"/>
        <w:rPr>
          <w:rFonts w:ascii="Times New Roman" w:hAnsi="Times New Roman" w:cs="Times New Roman"/>
        </w:rPr>
      </w:pPr>
      <w:r w:rsidRPr="00E74F8F">
        <w:rPr>
          <w:rFonts w:ascii="Times New Roman" w:hAnsi="Times New Roman" w:cs="Times New Roman"/>
        </w:rPr>
        <w:t>В 2020 году высокотехнологичную помощь по профилю «ортопедия и травматология», «неонатология», «онкология», «нейрохирургия», «педиатрия», «урология» получили 308 детей (2019 год. - 266 чел., 2018 г. – 283 чел.) в ГУЗ «Областная детская больница» и 540 детей</w:t>
      </w:r>
      <w:r w:rsidRPr="00E74F8F">
        <w:rPr>
          <w:rFonts w:ascii="Times New Roman" w:hAnsi="Times New Roman" w:cs="Times New Roman"/>
          <w:color w:val="FF0000"/>
        </w:rPr>
        <w:t xml:space="preserve"> </w:t>
      </w:r>
      <w:r w:rsidRPr="00E74F8F">
        <w:rPr>
          <w:rFonts w:ascii="Times New Roman" w:hAnsi="Times New Roman" w:cs="Times New Roman"/>
        </w:rPr>
        <w:t>(2019 год – 600, 2018 г. - 595) пролечены в федеральных центрах.</w:t>
      </w:r>
    </w:p>
    <w:p w:rsidR="00E74F8F" w:rsidRPr="00E74F8F" w:rsidRDefault="00E74F8F" w:rsidP="00E74F8F">
      <w:pPr>
        <w:pStyle w:val="a7"/>
        <w:suppressAutoHyphens/>
        <w:ind w:left="0" w:firstLine="708"/>
        <w:jc w:val="both"/>
        <w:rPr>
          <w:rFonts w:ascii="Times New Roman" w:hAnsi="Times New Roman" w:cs="Times New Roman"/>
          <w:bCs/>
          <w:iCs/>
          <w:spacing w:val="6"/>
        </w:rPr>
      </w:pPr>
      <w:r w:rsidRPr="00E74F8F">
        <w:rPr>
          <w:rFonts w:ascii="Times New Roman" w:hAnsi="Times New Roman" w:cs="Times New Roman"/>
          <w:iCs/>
        </w:rPr>
        <w:t>В Липецкой области о</w:t>
      </w:r>
      <w:r w:rsidRPr="00E74F8F">
        <w:rPr>
          <w:rFonts w:ascii="Times New Roman" w:hAnsi="Times New Roman" w:cs="Times New Roman"/>
        </w:rPr>
        <w:t>бщее число признанных инвалидами детей за 2020 г. увеличилось на 0,6 % к уровню 2019 г. и составило   4425 человек.</w:t>
      </w:r>
    </w:p>
    <w:p w:rsidR="00E74F8F" w:rsidRPr="00E74F8F" w:rsidRDefault="00E74F8F" w:rsidP="00E74F8F">
      <w:pPr>
        <w:shd w:val="clear" w:color="auto" w:fill="FFFFFF"/>
        <w:spacing w:line="240" w:lineRule="auto"/>
        <w:ind w:firstLine="557"/>
        <w:contextualSpacing/>
        <w:jc w:val="both"/>
        <w:rPr>
          <w:rFonts w:ascii="Times New Roman" w:hAnsi="Times New Roman" w:cs="Times New Roman"/>
          <w:spacing w:val="4"/>
          <w:lang w:eastAsia="zh-CN"/>
        </w:rPr>
      </w:pPr>
      <w:r w:rsidRPr="00E74F8F">
        <w:rPr>
          <w:rFonts w:ascii="Times New Roman" w:hAnsi="Times New Roman" w:cs="Times New Roman"/>
          <w:bCs/>
          <w:iCs/>
          <w:color w:val="FF0000"/>
          <w:spacing w:val="6"/>
          <w:lang w:val="x-none"/>
        </w:rPr>
        <w:t xml:space="preserve"> </w:t>
      </w:r>
      <w:proofErr w:type="gramStart"/>
      <w:r w:rsidRPr="00E74F8F">
        <w:rPr>
          <w:rFonts w:ascii="Times New Roman" w:hAnsi="Times New Roman" w:cs="Times New Roman"/>
          <w:spacing w:val="4"/>
        </w:rPr>
        <w:t xml:space="preserve">В возрастной группе от 0 до 14 лет отмечается рост показателя инвалидности на 1,1 % по сравнению с 2019 годом за счет роста следующих классов болезней: </w:t>
      </w:r>
      <w:r w:rsidRPr="00E74F8F">
        <w:rPr>
          <w:rFonts w:ascii="Times New Roman" w:hAnsi="Times New Roman" w:cs="Times New Roman"/>
          <w:spacing w:val="7"/>
        </w:rPr>
        <w:t xml:space="preserve">болезни крови, кроветворных органов и отдельные нарушения, вовлекающие иммунный механизм – 8,9%, </w:t>
      </w:r>
      <w:r w:rsidRPr="00E74F8F">
        <w:rPr>
          <w:rFonts w:ascii="Times New Roman" w:hAnsi="Times New Roman" w:cs="Times New Roman"/>
          <w:spacing w:val="4"/>
        </w:rPr>
        <w:t>костно-мышечной системы – 7,3%, в том числе юношеского   ювенального артрита   28,2%, кожи и подкожной клетчатки – 4,8%, системы кровообращения – 3,0%.</w:t>
      </w:r>
      <w:proofErr w:type="gramEnd"/>
    </w:p>
    <w:p w:rsidR="00E74F8F" w:rsidRPr="00E74F8F" w:rsidRDefault="00E74F8F" w:rsidP="00E74F8F">
      <w:pPr>
        <w:shd w:val="clear" w:color="auto" w:fill="FFFFFF"/>
        <w:spacing w:line="240" w:lineRule="auto"/>
        <w:ind w:firstLine="557"/>
        <w:contextualSpacing/>
        <w:jc w:val="both"/>
        <w:rPr>
          <w:rFonts w:ascii="Times New Roman" w:hAnsi="Times New Roman" w:cs="Times New Roman"/>
          <w:b/>
        </w:rPr>
      </w:pPr>
      <w:proofErr w:type="gramStart"/>
      <w:r w:rsidRPr="00E74F8F">
        <w:rPr>
          <w:rFonts w:ascii="Times New Roman" w:hAnsi="Times New Roman" w:cs="Times New Roman"/>
          <w:spacing w:val="3"/>
        </w:rPr>
        <w:t xml:space="preserve">Среди подростков в возрасте от 15 до 17 лет включительно этот показатель снизился на 1,0% по сравнению с </w:t>
      </w:r>
      <w:r w:rsidRPr="00E74F8F">
        <w:rPr>
          <w:rFonts w:ascii="Times New Roman" w:hAnsi="Times New Roman" w:cs="Times New Roman"/>
          <w:spacing w:val="7"/>
        </w:rPr>
        <w:t>2019 годом за счет снижения числа случаев болезней: болезни системы кровообращения – 26,7%, болезни крови, кроветворных органов и отдельные нарушения, вовлекающие иммунный механизм и кожи и подкожной клетчатки – 16,7%,  болезни глаза и его придаточного отростка и органов дыхания – 11,1%, болезни костно-мышечной системы и</w:t>
      </w:r>
      <w:proofErr w:type="gramEnd"/>
      <w:r w:rsidRPr="00E74F8F">
        <w:rPr>
          <w:rFonts w:ascii="Times New Roman" w:hAnsi="Times New Roman" w:cs="Times New Roman"/>
          <w:spacing w:val="7"/>
        </w:rPr>
        <w:t xml:space="preserve"> соединительной ткани – 9,8%, врожденных аномалий – на 8,1%.</w:t>
      </w:r>
    </w:p>
    <w:p w:rsidR="00E74F8F" w:rsidRPr="00E74F8F" w:rsidRDefault="00E74F8F" w:rsidP="00E74F8F">
      <w:pPr>
        <w:spacing w:line="240" w:lineRule="auto"/>
        <w:contextualSpacing/>
        <w:rPr>
          <w:rFonts w:ascii="Times New Roman" w:hAnsi="Times New Roman" w:cs="Times New Roman"/>
          <w:b/>
        </w:rPr>
      </w:pPr>
    </w:p>
    <w:p w:rsidR="00E74F8F" w:rsidRPr="00E74F8F" w:rsidRDefault="00E74F8F" w:rsidP="00E74F8F">
      <w:pPr>
        <w:jc w:val="center"/>
        <w:rPr>
          <w:rFonts w:ascii="Times New Roman" w:hAnsi="Times New Roman" w:cs="Times New Roman"/>
          <w:b/>
        </w:rPr>
      </w:pPr>
      <w:r w:rsidRPr="00E74F8F">
        <w:rPr>
          <w:rFonts w:ascii="Times New Roman" w:hAnsi="Times New Roman" w:cs="Times New Roman"/>
          <w:b/>
        </w:rPr>
        <w:t>Показатель инвалидности детей от 0 до 17 лет включительно</w:t>
      </w:r>
    </w:p>
    <w:p w:rsidR="00E74F8F" w:rsidRPr="00E74F8F" w:rsidRDefault="00E74F8F" w:rsidP="00E74F8F">
      <w:pPr>
        <w:jc w:val="center"/>
        <w:rPr>
          <w:rFonts w:ascii="Times New Roman" w:hAnsi="Times New Roman" w:cs="Times New Roman"/>
        </w:rPr>
      </w:pPr>
      <w:r w:rsidRPr="00E74F8F">
        <w:rPr>
          <w:rFonts w:ascii="Times New Roman" w:hAnsi="Times New Roman" w:cs="Times New Roman"/>
          <w:b/>
        </w:rPr>
        <w:t>на 10 тыс. населения соответствующего возраста</w:t>
      </w:r>
    </w:p>
    <w:p w:rsidR="00E74F8F" w:rsidRPr="00E74F8F" w:rsidRDefault="00E74F8F" w:rsidP="00E74F8F">
      <w:pPr>
        <w:ind w:firstLine="708"/>
        <w:jc w:val="right"/>
        <w:rPr>
          <w:rFonts w:ascii="Times New Roman" w:hAnsi="Times New Roman" w:cs="Times New Roman"/>
          <w:color w:val="000000"/>
        </w:rPr>
      </w:pPr>
      <w:r w:rsidRPr="00E74F8F">
        <w:rPr>
          <w:rFonts w:ascii="Times New Roman" w:hAnsi="Times New Roman" w:cs="Times New Roman"/>
          <w:color w:val="000000"/>
        </w:rPr>
        <w:t xml:space="preserve">Диаграмма </w:t>
      </w:r>
    </w:p>
    <w:p w:rsidR="00E74F8F" w:rsidRPr="00E74F8F" w:rsidRDefault="00E74F8F" w:rsidP="00E74F8F">
      <w:pPr>
        <w:shd w:val="clear" w:color="auto" w:fill="FFFFFF"/>
        <w:ind w:firstLine="557"/>
        <w:jc w:val="both"/>
        <w:rPr>
          <w:rFonts w:ascii="Times New Roman" w:hAnsi="Times New Roman" w:cs="Times New Roman"/>
          <w:noProof/>
        </w:rPr>
      </w:pPr>
      <w:r w:rsidRPr="00E74F8F">
        <w:rPr>
          <w:rFonts w:ascii="Times New Roman" w:eastAsia="Times New Roman" w:hAnsi="Times New Roman" w:cs="Times New Roman"/>
          <w:noProof/>
          <w:sz w:val="24"/>
          <w:szCs w:val="24"/>
        </w:rPr>
        <w:drawing>
          <wp:inline distT="0" distB="0" distL="0" distR="0" wp14:anchorId="742CF729" wp14:editId="7C12E2D4">
            <wp:extent cx="4686300" cy="26765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4F8F" w:rsidRPr="00E74F8F" w:rsidRDefault="00E74F8F" w:rsidP="00E74F8F">
      <w:pPr>
        <w:shd w:val="clear" w:color="auto" w:fill="FFFFFF"/>
        <w:ind w:firstLine="557"/>
        <w:jc w:val="both"/>
        <w:rPr>
          <w:rFonts w:ascii="Times New Roman" w:hAnsi="Times New Roman" w:cs="Times New Roman"/>
          <w:color w:val="800080"/>
          <w:lang w:eastAsia="zh-CN"/>
        </w:rPr>
      </w:pPr>
    </w:p>
    <w:p w:rsidR="00E74F8F" w:rsidRPr="00E74F8F" w:rsidRDefault="00E74F8F" w:rsidP="00E74F8F">
      <w:pPr>
        <w:shd w:val="clear" w:color="auto" w:fill="FFFFFF"/>
        <w:ind w:firstLine="557"/>
        <w:jc w:val="both"/>
        <w:rPr>
          <w:rFonts w:ascii="Times New Roman" w:hAnsi="Times New Roman" w:cs="Times New Roman"/>
          <w:b/>
        </w:rPr>
      </w:pPr>
      <w:r w:rsidRPr="00E74F8F">
        <w:rPr>
          <w:rFonts w:ascii="Times New Roman" w:hAnsi="Times New Roman" w:cs="Times New Roman"/>
        </w:rPr>
        <w:t>Возрастная структура детской инвалидности в 2020 году представлена следующим образом: 0 – 4 года – 13,2%, 5 – 9 лет – 28,4%, 10 – 14 лет – 35,1%, 15 – 17 лет – 23,3%.</w:t>
      </w:r>
    </w:p>
    <w:p w:rsidR="00E74F8F" w:rsidRPr="00E74F8F" w:rsidRDefault="00E74F8F" w:rsidP="00E74F8F">
      <w:pPr>
        <w:shd w:val="clear" w:color="auto" w:fill="FFFFFF"/>
        <w:ind w:firstLine="557"/>
        <w:jc w:val="both"/>
        <w:rPr>
          <w:rFonts w:ascii="Times New Roman" w:hAnsi="Times New Roman" w:cs="Times New Roman"/>
          <w:b/>
        </w:rPr>
      </w:pPr>
    </w:p>
    <w:p w:rsidR="00E74F8F" w:rsidRPr="00E74F8F" w:rsidRDefault="00E74F8F" w:rsidP="00E74F8F">
      <w:pPr>
        <w:shd w:val="clear" w:color="auto" w:fill="FFFFFF"/>
        <w:ind w:firstLine="557"/>
        <w:jc w:val="both"/>
        <w:rPr>
          <w:rFonts w:ascii="Times New Roman" w:hAnsi="Times New Roman" w:cs="Times New Roman"/>
        </w:rPr>
      </w:pPr>
      <w:r w:rsidRPr="00E74F8F">
        <w:rPr>
          <w:rFonts w:ascii="Times New Roman" w:hAnsi="Times New Roman" w:cs="Times New Roman"/>
          <w:b/>
        </w:rPr>
        <w:t xml:space="preserve">Удельный вес детей инвалидов по возрастным группам в 2020 </w:t>
      </w:r>
      <w:r w:rsidRPr="00E74F8F">
        <w:rPr>
          <w:rFonts w:ascii="Times New Roman" w:hAnsi="Times New Roman" w:cs="Times New Roman"/>
          <w:b/>
          <w:sz w:val="28"/>
          <w:szCs w:val="28"/>
        </w:rPr>
        <w:t>году</w:t>
      </w:r>
    </w:p>
    <w:p w:rsidR="00E74F8F" w:rsidRPr="00E74F8F" w:rsidRDefault="00E74F8F" w:rsidP="00E74F8F">
      <w:pPr>
        <w:shd w:val="clear" w:color="auto" w:fill="FFFFFF"/>
        <w:ind w:firstLine="557"/>
        <w:jc w:val="both"/>
        <w:rPr>
          <w:rFonts w:ascii="Times New Roman" w:hAnsi="Times New Roman" w:cs="Times New Roman"/>
          <w:color w:val="800080"/>
          <w:spacing w:val="-1"/>
        </w:rPr>
      </w:pPr>
      <w:r w:rsidRPr="00E74F8F">
        <w:rPr>
          <w:rFonts w:ascii="Times New Roman" w:eastAsia="Times New Roman" w:hAnsi="Times New Roman" w:cs="Times New Roman"/>
          <w:noProof/>
          <w:sz w:val="24"/>
          <w:szCs w:val="24"/>
        </w:rPr>
        <w:drawing>
          <wp:inline distT="0" distB="0" distL="0" distR="0" wp14:anchorId="7B94DC11" wp14:editId="18CB7E86">
            <wp:extent cx="4324350" cy="26765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4F8F" w:rsidRPr="00E74F8F" w:rsidRDefault="00E74F8F" w:rsidP="00E74F8F">
      <w:pPr>
        <w:shd w:val="clear" w:color="auto" w:fill="FFFFFF"/>
        <w:ind w:firstLine="708"/>
        <w:jc w:val="both"/>
        <w:rPr>
          <w:rFonts w:ascii="Times New Roman" w:hAnsi="Times New Roman" w:cs="Times New Roman"/>
          <w:spacing w:val="-1"/>
        </w:rPr>
      </w:pPr>
    </w:p>
    <w:p w:rsidR="00E74F8F" w:rsidRPr="00E74F8F" w:rsidRDefault="00E74F8F" w:rsidP="00E74F8F">
      <w:pPr>
        <w:shd w:val="clear" w:color="auto" w:fill="FFFFFF"/>
        <w:ind w:firstLine="708"/>
        <w:jc w:val="both"/>
        <w:rPr>
          <w:rFonts w:ascii="Times New Roman" w:hAnsi="Times New Roman" w:cs="Times New Roman"/>
          <w:spacing w:val="-1"/>
        </w:rPr>
      </w:pPr>
      <w:proofErr w:type="gramStart"/>
      <w:r w:rsidRPr="00E74F8F">
        <w:rPr>
          <w:rFonts w:ascii="Times New Roman" w:hAnsi="Times New Roman" w:cs="Times New Roman"/>
          <w:spacing w:val="-1"/>
        </w:rPr>
        <w:t xml:space="preserve">Основными </w:t>
      </w:r>
      <w:r w:rsidRPr="00E74F8F">
        <w:rPr>
          <w:rFonts w:ascii="Times New Roman" w:hAnsi="Times New Roman" w:cs="Times New Roman"/>
          <w:bCs/>
          <w:spacing w:val="-1"/>
        </w:rPr>
        <w:t>причинами</w:t>
      </w:r>
      <w:r w:rsidRPr="00E74F8F">
        <w:rPr>
          <w:rFonts w:ascii="Times New Roman" w:hAnsi="Times New Roman" w:cs="Times New Roman"/>
          <w:b/>
          <w:bCs/>
          <w:spacing w:val="-1"/>
        </w:rPr>
        <w:t xml:space="preserve"> </w:t>
      </w:r>
      <w:r w:rsidRPr="00E74F8F">
        <w:rPr>
          <w:rFonts w:ascii="Times New Roman" w:hAnsi="Times New Roman" w:cs="Times New Roman"/>
          <w:spacing w:val="-1"/>
        </w:rPr>
        <w:t>общей инвалидности детей в возрасте от 0 до 17 лет являются  врождённые аномалии  и психические расстройства и расстройства поведения -  24,3%, болезни нервной системы – 17,4%, болезни эндокринной системы, расстройства питания и нарушения обмена веществ – 9,1%, болезни уха и сосцевидного отростка – 5,4%, новообразования – 5,0%, болезни глаза и его придаточного отростка – 4,7%.</w:t>
      </w:r>
      <w:proofErr w:type="gramEnd"/>
    </w:p>
    <w:p w:rsidR="00E74F8F" w:rsidRPr="00E74F8F" w:rsidRDefault="00E74F8F" w:rsidP="00E74F8F">
      <w:pPr>
        <w:tabs>
          <w:tab w:val="left" w:pos="7200"/>
        </w:tabs>
        <w:jc w:val="right"/>
        <w:rPr>
          <w:rFonts w:ascii="Times New Roman" w:hAnsi="Times New Roman" w:cs="Times New Roman"/>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r w:rsidRPr="00E74F8F">
        <w:rPr>
          <w:rFonts w:ascii="Times New Roman" w:hAnsi="Times New Roman" w:cs="Times New Roman"/>
          <w:b/>
        </w:rPr>
        <w:lastRenderedPageBreak/>
        <w:t>Структура детской инвалидности</w:t>
      </w:r>
    </w:p>
    <w:p w:rsidR="00E74F8F" w:rsidRPr="00E74F8F" w:rsidRDefault="00E74F8F" w:rsidP="00E74F8F">
      <w:pPr>
        <w:tabs>
          <w:tab w:val="left" w:pos="7200"/>
        </w:tabs>
        <w:jc w:val="center"/>
        <w:rPr>
          <w:rFonts w:ascii="Times New Roman" w:hAnsi="Times New Roman" w:cs="Times New Roman"/>
          <w:b/>
        </w:rPr>
      </w:pPr>
    </w:p>
    <w:p w:rsidR="00E74F8F" w:rsidRPr="00E74F8F" w:rsidRDefault="00E74F8F" w:rsidP="00E74F8F">
      <w:pPr>
        <w:tabs>
          <w:tab w:val="left" w:pos="7200"/>
        </w:tabs>
        <w:jc w:val="center"/>
        <w:rPr>
          <w:rFonts w:ascii="Times New Roman" w:hAnsi="Times New Roman" w:cs="Times New Roman"/>
          <w:b/>
        </w:rPr>
      </w:pPr>
      <w:r w:rsidRPr="00E74F8F">
        <w:rPr>
          <w:rFonts w:ascii="Times New Roman" w:hAnsi="Times New Roman" w:cs="Times New Roman"/>
          <w:noProof/>
        </w:rPr>
        <w:drawing>
          <wp:inline distT="0" distB="0" distL="0" distR="0" wp14:anchorId="51C1A861" wp14:editId="0D6578F1">
            <wp:extent cx="5086350" cy="26384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74F8F" w:rsidRPr="00E74F8F" w:rsidRDefault="00E74F8F" w:rsidP="00E74F8F">
      <w:pPr>
        <w:tabs>
          <w:tab w:val="left" w:pos="7200"/>
        </w:tabs>
        <w:jc w:val="right"/>
        <w:rPr>
          <w:rFonts w:ascii="Times New Roman" w:hAnsi="Times New Roman" w:cs="Times New Roman"/>
        </w:rPr>
      </w:pPr>
    </w:p>
    <w:p w:rsidR="00E74F8F" w:rsidRPr="00E74F8F" w:rsidRDefault="00E74F8F" w:rsidP="004B6E85">
      <w:pPr>
        <w:spacing w:after="0" w:line="240" w:lineRule="auto"/>
        <w:ind w:firstLine="709"/>
        <w:jc w:val="both"/>
        <w:rPr>
          <w:rFonts w:ascii="Times New Roman" w:hAnsi="Times New Roman" w:cs="Times New Roman"/>
        </w:rPr>
      </w:pPr>
      <w:r w:rsidRPr="00E74F8F">
        <w:rPr>
          <w:rFonts w:ascii="Times New Roman" w:hAnsi="Times New Roman" w:cs="Times New Roman"/>
        </w:rPr>
        <w:t xml:space="preserve">Показатель первичного выхода на инвалидность детей 0-17 лет снизился  на 16,4% к уровню 2019 года. Следует отметить снижение показателя первичного выхода на инвалидность среди детей в возрасте 0-14 лет включительно на 17,1 %, что свидетельствует об эффективности  системы медицинской  реабилитации у детей. </w:t>
      </w:r>
    </w:p>
    <w:p w:rsidR="00E74F8F" w:rsidRPr="00E74F8F" w:rsidRDefault="00E74F8F" w:rsidP="004B6E85">
      <w:pPr>
        <w:spacing w:after="0" w:line="240" w:lineRule="auto"/>
        <w:ind w:firstLine="708"/>
        <w:jc w:val="both"/>
        <w:rPr>
          <w:rFonts w:ascii="Times New Roman" w:hAnsi="Times New Roman" w:cs="Times New Roman"/>
        </w:rPr>
      </w:pPr>
      <w:r w:rsidRPr="00E74F8F">
        <w:rPr>
          <w:rFonts w:ascii="Times New Roman" w:hAnsi="Times New Roman" w:cs="Times New Roman"/>
        </w:rPr>
        <w:t>На показатель общей инвалидности оказывают влияние многие факторы, в первую очередь это осложнения беременности в результате различных неблагоприятных воздействий, наличие тяжелых и хронических форм заболеваний, экономические и другие факторы, влияющих на уровень заболеваемости населения.</w:t>
      </w:r>
    </w:p>
    <w:p w:rsidR="00E74F8F" w:rsidRPr="00E74F8F" w:rsidRDefault="00E74F8F" w:rsidP="004B6E85">
      <w:pPr>
        <w:spacing w:after="0" w:line="240" w:lineRule="auto"/>
        <w:ind w:firstLine="709"/>
        <w:jc w:val="both"/>
        <w:rPr>
          <w:rFonts w:ascii="Times New Roman" w:hAnsi="Times New Roman" w:cs="Times New Roman"/>
          <w:color w:val="800080"/>
        </w:rPr>
      </w:pPr>
      <w:r w:rsidRPr="00E74F8F">
        <w:rPr>
          <w:rFonts w:ascii="Times New Roman" w:hAnsi="Times New Roman" w:cs="Times New Roman"/>
        </w:rPr>
        <w:t>Проведение в области массового обследования новорожденных на наследственные заболевания позволяет обеспечить раннее выявление детей с тяжелыми наследственными и врожденными заболеваниями, провести своевременное лечение для сохранения здоровья и профилактики инвалидности.</w:t>
      </w:r>
    </w:p>
    <w:p w:rsidR="00E74F8F" w:rsidRPr="00E74F8F" w:rsidRDefault="00E74F8F" w:rsidP="004B6E85">
      <w:pPr>
        <w:spacing w:after="0" w:line="240" w:lineRule="auto"/>
        <w:ind w:firstLine="708"/>
        <w:jc w:val="both"/>
        <w:rPr>
          <w:rFonts w:ascii="Times New Roman" w:hAnsi="Times New Roman" w:cs="Times New Roman"/>
        </w:rPr>
      </w:pPr>
      <w:r w:rsidRPr="00E74F8F">
        <w:rPr>
          <w:rFonts w:ascii="Times New Roman" w:hAnsi="Times New Roman" w:cs="Times New Roman"/>
        </w:rPr>
        <w:t xml:space="preserve">Комплекс мероприятий в рамках  проведения неонатального и </w:t>
      </w:r>
      <w:proofErr w:type="spellStart"/>
      <w:r w:rsidRPr="00E74F8F">
        <w:rPr>
          <w:rFonts w:ascii="Times New Roman" w:hAnsi="Times New Roman" w:cs="Times New Roman"/>
        </w:rPr>
        <w:t>аудиологического</w:t>
      </w:r>
      <w:proofErr w:type="spellEnd"/>
      <w:r w:rsidRPr="00E74F8F">
        <w:rPr>
          <w:rFonts w:ascii="Times New Roman" w:hAnsi="Times New Roman" w:cs="Times New Roman"/>
        </w:rPr>
        <w:t xml:space="preserve"> </w:t>
      </w:r>
      <w:proofErr w:type="spellStart"/>
      <w:r w:rsidRPr="00E74F8F">
        <w:rPr>
          <w:rFonts w:ascii="Times New Roman" w:hAnsi="Times New Roman" w:cs="Times New Roman"/>
        </w:rPr>
        <w:t>скринингов</w:t>
      </w:r>
      <w:proofErr w:type="spellEnd"/>
      <w:r w:rsidRPr="00E74F8F">
        <w:rPr>
          <w:rFonts w:ascii="Times New Roman" w:hAnsi="Times New Roman" w:cs="Times New Roman"/>
        </w:rPr>
        <w:t xml:space="preserve"> в 2020 году обеспечил    проведение обследования  99,7 % детей, </w:t>
      </w:r>
      <w:proofErr w:type="gramStart"/>
      <w:r w:rsidRPr="00E74F8F">
        <w:rPr>
          <w:rFonts w:ascii="Times New Roman" w:hAnsi="Times New Roman" w:cs="Times New Roman"/>
        </w:rPr>
        <w:t>от</w:t>
      </w:r>
      <w:proofErr w:type="gramEnd"/>
      <w:r w:rsidRPr="00E74F8F">
        <w:rPr>
          <w:rFonts w:ascii="Times New Roman" w:hAnsi="Times New Roman" w:cs="Times New Roman"/>
        </w:rPr>
        <w:t xml:space="preserve"> родившихся живыми, на </w:t>
      </w:r>
      <w:proofErr w:type="spellStart"/>
      <w:r w:rsidRPr="00E74F8F">
        <w:rPr>
          <w:rFonts w:ascii="Times New Roman" w:hAnsi="Times New Roman" w:cs="Times New Roman"/>
        </w:rPr>
        <w:t>фенилкетонурию</w:t>
      </w:r>
      <w:proofErr w:type="spellEnd"/>
      <w:r w:rsidRPr="00E74F8F">
        <w:rPr>
          <w:rFonts w:ascii="Times New Roman" w:hAnsi="Times New Roman" w:cs="Times New Roman"/>
        </w:rPr>
        <w:t xml:space="preserve">, врожденный гипотиреоз, адреногенитальный синдром, </w:t>
      </w:r>
      <w:proofErr w:type="spellStart"/>
      <w:r w:rsidRPr="00E74F8F">
        <w:rPr>
          <w:rFonts w:ascii="Times New Roman" w:hAnsi="Times New Roman" w:cs="Times New Roman"/>
        </w:rPr>
        <w:t>галактоземию</w:t>
      </w:r>
      <w:proofErr w:type="spellEnd"/>
      <w:r w:rsidRPr="00E74F8F">
        <w:rPr>
          <w:rFonts w:ascii="Times New Roman" w:hAnsi="Times New Roman" w:cs="Times New Roman"/>
        </w:rPr>
        <w:t xml:space="preserve">, </w:t>
      </w:r>
      <w:proofErr w:type="spellStart"/>
      <w:r w:rsidRPr="00E74F8F">
        <w:rPr>
          <w:rFonts w:ascii="Times New Roman" w:hAnsi="Times New Roman" w:cs="Times New Roman"/>
        </w:rPr>
        <w:t>муковисцидоз</w:t>
      </w:r>
      <w:proofErr w:type="spellEnd"/>
      <w:r w:rsidRPr="00E74F8F">
        <w:rPr>
          <w:rFonts w:ascii="Times New Roman" w:hAnsi="Times New Roman" w:cs="Times New Roman"/>
        </w:rPr>
        <w:t xml:space="preserve">. Выявлено всего 9 больных: 5 случаев врожденного гипотиреоза,  1 случай </w:t>
      </w:r>
      <w:proofErr w:type="spellStart"/>
      <w:proofErr w:type="gramStart"/>
      <w:r w:rsidRPr="00E74F8F">
        <w:rPr>
          <w:rFonts w:ascii="Times New Roman" w:hAnsi="Times New Roman" w:cs="Times New Roman"/>
        </w:rPr>
        <w:t>адрено</w:t>
      </w:r>
      <w:proofErr w:type="spellEnd"/>
      <w:r w:rsidRPr="00E74F8F">
        <w:rPr>
          <w:rFonts w:ascii="Times New Roman" w:hAnsi="Times New Roman" w:cs="Times New Roman"/>
        </w:rPr>
        <w:t>-генитального</w:t>
      </w:r>
      <w:proofErr w:type="gramEnd"/>
      <w:r w:rsidRPr="00E74F8F">
        <w:rPr>
          <w:rFonts w:ascii="Times New Roman" w:hAnsi="Times New Roman" w:cs="Times New Roman"/>
        </w:rPr>
        <w:t xml:space="preserve"> синдрома и 3 случая </w:t>
      </w:r>
      <w:proofErr w:type="spellStart"/>
      <w:r w:rsidRPr="00E74F8F">
        <w:rPr>
          <w:rFonts w:ascii="Times New Roman" w:hAnsi="Times New Roman" w:cs="Times New Roman"/>
        </w:rPr>
        <w:t>галактоземии</w:t>
      </w:r>
      <w:proofErr w:type="spellEnd"/>
      <w:r w:rsidRPr="00E74F8F">
        <w:rPr>
          <w:rFonts w:ascii="Times New Roman" w:hAnsi="Times New Roman" w:cs="Times New Roman"/>
        </w:rPr>
        <w:t xml:space="preserve">. Всем детям своевременно начато необходимое лечение. </w:t>
      </w:r>
    </w:p>
    <w:p w:rsidR="00E74F8F" w:rsidRPr="00E74F8F" w:rsidRDefault="00E74F8F" w:rsidP="004B6E85">
      <w:pPr>
        <w:spacing w:after="0" w:line="240" w:lineRule="auto"/>
        <w:ind w:firstLine="708"/>
        <w:jc w:val="both"/>
        <w:rPr>
          <w:rFonts w:ascii="Times New Roman" w:hAnsi="Times New Roman" w:cs="Times New Roman"/>
        </w:rPr>
      </w:pPr>
      <w:proofErr w:type="spellStart"/>
      <w:proofErr w:type="gramStart"/>
      <w:r w:rsidRPr="00E74F8F">
        <w:rPr>
          <w:rFonts w:ascii="Times New Roman" w:hAnsi="Times New Roman" w:cs="Times New Roman"/>
        </w:rPr>
        <w:t>Аудиологический</w:t>
      </w:r>
      <w:proofErr w:type="spellEnd"/>
      <w:r w:rsidRPr="00E74F8F">
        <w:rPr>
          <w:rFonts w:ascii="Times New Roman" w:hAnsi="Times New Roman" w:cs="Times New Roman"/>
        </w:rPr>
        <w:t xml:space="preserve"> скрининг в 2020 году проведен у 9297 детей, что составило 98% от родившихся, у 51 новорожденного выявлено  нарушениями слуха.</w:t>
      </w:r>
      <w:proofErr w:type="gramEnd"/>
      <w:r w:rsidRPr="00E74F8F">
        <w:rPr>
          <w:rFonts w:ascii="Times New Roman" w:hAnsi="Times New Roman" w:cs="Times New Roman"/>
        </w:rPr>
        <w:t xml:space="preserve"> После проведения диагностических обследований на втором этапе скрининга в детском </w:t>
      </w:r>
      <w:proofErr w:type="spellStart"/>
      <w:r w:rsidRPr="00E74F8F">
        <w:rPr>
          <w:rFonts w:ascii="Times New Roman" w:hAnsi="Times New Roman" w:cs="Times New Roman"/>
        </w:rPr>
        <w:t>сурдологическом</w:t>
      </w:r>
      <w:proofErr w:type="spellEnd"/>
      <w:r w:rsidRPr="00E74F8F">
        <w:rPr>
          <w:rFonts w:ascii="Times New Roman" w:hAnsi="Times New Roman" w:cs="Times New Roman"/>
        </w:rPr>
        <w:t xml:space="preserve"> кабинете ГУЗ «Областная детская больница» у 21 ребенка выявлено снижение слуха, из которых у 3-х детей требуется проведение </w:t>
      </w:r>
      <w:proofErr w:type="spellStart"/>
      <w:r w:rsidRPr="00E74F8F">
        <w:rPr>
          <w:rFonts w:ascii="Times New Roman" w:hAnsi="Times New Roman" w:cs="Times New Roman"/>
        </w:rPr>
        <w:t>кохлеарной</w:t>
      </w:r>
      <w:proofErr w:type="spellEnd"/>
      <w:r w:rsidRPr="00E74F8F">
        <w:rPr>
          <w:rFonts w:ascii="Times New Roman" w:hAnsi="Times New Roman" w:cs="Times New Roman"/>
        </w:rPr>
        <w:t xml:space="preserve"> имплантации.</w:t>
      </w:r>
    </w:p>
    <w:p w:rsidR="00E74F8F" w:rsidRPr="00E74F8F" w:rsidRDefault="00E74F8F" w:rsidP="004B6E85">
      <w:pPr>
        <w:spacing w:after="0" w:line="240" w:lineRule="auto"/>
        <w:ind w:firstLine="709"/>
        <w:jc w:val="both"/>
        <w:rPr>
          <w:rFonts w:ascii="Times New Roman" w:hAnsi="Times New Roman" w:cs="Times New Roman"/>
        </w:rPr>
      </w:pPr>
      <w:r w:rsidRPr="00E74F8F">
        <w:rPr>
          <w:rFonts w:ascii="Times New Roman" w:hAnsi="Times New Roman" w:cs="Times New Roman"/>
        </w:rPr>
        <w:t xml:space="preserve"> В 2020 году 5 детям с нарушением слуха в федеральных центрах проведены операции </w:t>
      </w:r>
      <w:proofErr w:type="spellStart"/>
      <w:r w:rsidRPr="00E74F8F">
        <w:rPr>
          <w:rFonts w:ascii="Times New Roman" w:hAnsi="Times New Roman" w:cs="Times New Roman"/>
        </w:rPr>
        <w:t>кохлеарной</w:t>
      </w:r>
      <w:proofErr w:type="spellEnd"/>
      <w:r w:rsidRPr="00E74F8F">
        <w:rPr>
          <w:rFonts w:ascii="Times New Roman" w:hAnsi="Times New Roman" w:cs="Times New Roman"/>
        </w:rPr>
        <w:t xml:space="preserve"> имплантации, из которых 1 ребенок в возрасте до 3-х лет. </w:t>
      </w:r>
    </w:p>
    <w:p w:rsidR="00E74F8F" w:rsidRPr="00E74F8F" w:rsidRDefault="00E74F8F" w:rsidP="004B6E85">
      <w:pPr>
        <w:spacing w:line="240" w:lineRule="auto"/>
        <w:ind w:firstLine="709"/>
        <w:jc w:val="both"/>
        <w:rPr>
          <w:rFonts w:ascii="Times New Roman" w:hAnsi="Times New Roman" w:cs="Times New Roman"/>
        </w:rPr>
      </w:pPr>
      <w:r w:rsidRPr="00E74F8F">
        <w:rPr>
          <w:rFonts w:ascii="Times New Roman" w:hAnsi="Times New Roman" w:cs="Times New Roman"/>
        </w:rPr>
        <w:t>В области осуществляется системная работа по обеспечению сохранения здоровья детей, воспитывающихся в учреждениях для детей-сирот и детей, оставшихся без попечения родителей, а также детей-сирот и детей, оставшихся без попечения родителей, принятых под опеку, в приемную или патронатную семью.</w:t>
      </w:r>
    </w:p>
    <w:p w:rsidR="00E74F8F" w:rsidRPr="00E74F8F" w:rsidRDefault="00E74F8F" w:rsidP="004B6E85">
      <w:pPr>
        <w:spacing w:line="240" w:lineRule="auto"/>
        <w:ind w:firstLine="720"/>
        <w:jc w:val="both"/>
        <w:rPr>
          <w:rFonts w:ascii="Times New Roman" w:hAnsi="Times New Roman" w:cs="Times New Roman"/>
        </w:rPr>
      </w:pPr>
      <w:r w:rsidRPr="00E74F8F">
        <w:rPr>
          <w:rFonts w:ascii="Times New Roman" w:hAnsi="Times New Roman" w:cs="Times New Roman"/>
        </w:rPr>
        <w:t xml:space="preserve">В соответствии приказом Министерства здравоохранения Российской Федерации № 72н от 15.02.2013г. «О проведении диспансеризации пребывающих в стационарных учреждениях детей проведение диспансеризации пребывающих в стационарных учреждениях детей сирот и детей, </w:t>
      </w:r>
      <w:r w:rsidRPr="00E74F8F">
        <w:rPr>
          <w:rFonts w:ascii="Times New Roman" w:hAnsi="Times New Roman" w:cs="Times New Roman"/>
        </w:rPr>
        <w:lastRenderedPageBreak/>
        <w:t>находящихся в трудной жизненной ситуации», в 2020 году осмотрено 1068 детей, пребывающих в стационарных учреждениях.</w:t>
      </w:r>
    </w:p>
    <w:p w:rsidR="00E74F8F" w:rsidRPr="00E74F8F" w:rsidRDefault="00E74F8F" w:rsidP="004B6E85">
      <w:pPr>
        <w:pStyle w:val="2"/>
        <w:spacing w:line="240" w:lineRule="auto"/>
        <w:ind w:firstLine="700"/>
        <w:jc w:val="both"/>
      </w:pPr>
      <w:r w:rsidRPr="00E74F8F">
        <w:rPr>
          <w:b w:val="0"/>
        </w:rPr>
        <w:t xml:space="preserve">По результатам  проведенной диспансеризации  к </w:t>
      </w:r>
      <w:r w:rsidRPr="00E74F8F">
        <w:rPr>
          <w:b w:val="0"/>
          <w:lang w:val="en-US"/>
        </w:rPr>
        <w:t>I</w:t>
      </w:r>
      <w:r w:rsidRPr="00E74F8F">
        <w:rPr>
          <w:b w:val="0"/>
        </w:rPr>
        <w:t xml:space="preserve"> и </w:t>
      </w:r>
      <w:r w:rsidRPr="00E74F8F">
        <w:rPr>
          <w:b w:val="0"/>
          <w:lang w:val="en-US"/>
        </w:rPr>
        <w:t>II</w:t>
      </w:r>
      <w:r w:rsidRPr="00E74F8F">
        <w:rPr>
          <w:b w:val="0"/>
        </w:rPr>
        <w:t xml:space="preserve"> группам здоровья, не требующим специального медицинского наблюдения,  были отнесены 25,3% детей, к </w:t>
      </w:r>
      <w:r w:rsidRPr="00E74F8F">
        <w:rPr>
          <w:b w:val="0"/>
          <w:lang w:val="en-US"/>
        </w:rPr>
        <w:t>III</w:t>
      </w:r>
      <w:r w:rsidRPr="00E74F8F">
        <w:rPr>
          <w:b w:val="0"/>
        </w:rPr>
        <w:t xml:space="preserve">- 29,4 %, к </w:t>
      </w:r>
      <w:r w:rsidRPr="00E74F8F">
        <w:rPr>
          <w:b w:val="0"/>
          <w:lang w:val="en-US"/>
        </w:rPr>
        <w:t>IV</w:t>
      </w:r>
      <w:r w:rsidRPr="00E74F8F">
        <w:rPr>
          <w:b w:val="0"/>
        </w:rPr>
        <w:t xml:space="preserve"> и </w:t>
      </w:r>
      <w:r w:rsidRPr="00E74F8F">
        <w:rPr>
          <w:b w:val="0"/>
          <w:lang w:val="en-US"/>
        </w:rPr>
        <w:t>V</w:t>
      </w:r>
      <w:r w:rsidRPr="00E74F8F">
        <w:rPr>
          <w:b w:val="0"/>
        </w:rPr>
        <w:t xml:space="preserve"> – 45,3%   </w:t>
      </w:r>
      <w:proofErr w:type="gramStart"/>
      <w:r w:rsidRPr="00E74F8F">
        <w:rPr>
          <w:b w:val="0"/>
        </w:rPr>
        <w:t xml:space="preserve">( </w:t>
      </w:r>
      <w:proofErr w:type="gramEnd"/>
      <w:r w:rsidRPr="00E74F8F">
        <w:rPr>
          <w:b w:val="0"/>
        </w:rPr>
        <w:t xml:space="preserve">2018г. </w:t>
      </w:r>
      <w:r w:rsidRPr="00E74F8F">
        <w:rPr>
          <w:b w:val="0"/>
          <w:lang w:val="en-US"/>
        </w:rPr>
        <w:t>I</w:t>
      </w:r>
      <w:r w:rsidRPr="00E74F8F">
        <w:rPr>
          <w:b w:val="0"/>
        </w:rPr>
        <w:t xml:space="preserve"> и </w:t>
      </w:r>
      <w:r w:rsidRPr="00E74F8F">
        <w:rPr>
          <w:b w:val="0"/>
          <w:lang w:val="en-US"/>
        </w:rPr>
        <w:t>II</w:t>
      </w:r>
      <w:r w:rsidRPr="00E74F8F">
        <w:rPr>
          <w:b w:val="0"/>
        </w:rPr>
        <w:t xml:space="preserve"> группам здоровья - 21,8 %, </w:t>
      </w:r>
      <w:r w:rsidRPr="00E74F8F">
        <w:rPr>
          <w:b w:val="0"/>
          <w:color w:val="000000"/>
        </w:rPr>
        <w:t xml:space="preserve"> </w:t>
      </w:r>
      <w:r w:rsidRPr="00E74F8F">
        <w:rPr>
          <w:b w:val="0"/>
        </w:rPr>
        <w:t xml:space="preserve"> </w:t>
      </w:r>
      <w:r w:rsidRPr="00E74F8F">
        <w:rPr>
          <w:b w:val="0"/>
          <w:lang w:val="en-US"/>
        </w:rPr>
        <w:t>III</w:t>
      </w:r>
      <w:r w:rsidRPr="00E74F8F">
        <w:rPr>
          <w:b w:val="0"/>
        </w:rPr>
        <w:t xml:space="preserve"> – 38,5%, к </w:t>
      </w:r>
      <w:r w:rsidRPr="00E74F8F">
        <w:rPr>
          <w:b w:val="0"/>
          <w:lang w:val="en-US"/>
        </w:rPr>
        <w:t>IV</w:t>
      </w:r>
      <w:r w:rsidRPr="00E74F8F">
        <w:rPr>
          <w:b w:val="0"/>
        </w:rPr>
        <w:t xml:space="preserve"> и </w:t>
      </w:r>
      <w:r w:rsidRPr="00E74F8F">
        <w:rPr>
          <w:b w:val="0"/>
          <w:lang w:val="en-US"/>
        </w:rPr>
        <w:t>V</w:t>
      </w:r>
      <w:r w:rsidRPr="00E74F8F">
        <w:rPr>
          <w:b w:val="0"/>
        </w:rPr>
        <w:t xml:space="preserve"> – 39,7 % детей (2019 г. – </w:t>
      </w:r>
      <w:r w:rsidRPr="00E74F8F">
        <w:rPr>
          <w:b w:val="0"/>
          <w:lang w:val="en-US"/>
        </w:rPr>
        <w:t>I</w:t>
      </w:r>
      <w:r w:rsidRPr="00E74F8F">
        <w:rPr>
          <w:b w:val="0"/>
        </w:rPr>
        <w:t xml:space="preserve"> и </w:t>
      </w:r>
      <w:r w:rsidRPr="00E74F8F">
        <w:rPr>
          <w:b w:val="0"/>
          <w:lang w:val="en-US"/>
        </w:rPr>
        <w:t>II</w:t>
      </w:r>
      <w:r w:rsidRPr="00E74F8F">
        <w:rPr>
          <w:b w:val="0"/>
        </w:rPr>
        <w:t xml:space="preserve"> группа здоровья -24,1% детей,  </w:t>
      </w:r>
      <w:r w:rsidRPr="00E74F8F">
        <w:rPr>
          <w:b w:val="0"/>
          <w:lang w:val="en-US"/>
        </w:rPr>
        <w:t>III</w:t>
      </w:r>
      <w:r w:rsidRPr="00E74F8F">
        <w:rPr>
          <w:b w:val="0"/>
        </w:rPr>
        <w:t xml:space="preserve">- 35,1%,  </w:t>
      </w:r>
      <w:r w:rsidRPr="00E74F8F">
        <w:rPr>
          <w:b w:val="0"/>
          <w:lang w:val="en-US"/>
        </w:rPr>
        <w:t>IV</w:t>
      </w:r>
      <w:r w:rsidRPr="00E74F8F">
        <w:rPr>
          <w:b w:val="0"/>
        </w:rPr>
        <w:t xml:space="preserve"> и </w:t>
      </w:r>
      <w:r w:rsidRPr="00E74F8F">
        <w:rPr>
          <w:b w:val="0"/>
          <w:lang w:val="en-US"/>
        </w:rPr>
        <w:t>V</w:t>
      </w:r>
      <w:r w:rsidRPr="00E74F8F">
        <w:rPr>
          <w:b w:val="0"/>
        </w:rPr>
        <w:t xml:space="preserve"> – 40,8%    детей).</w:t>
      </w:r>
    </w:p>
    <w:p w:rsidR="00E74F8F" w:rsidRPr="00E74F8F" w:rsidRDefault="00E74F8F" w:rsidP="004B6E85">
      <w:pPr>
        <w:pStyle w:val="ConsPlusNormal"/>
        <w:ind w:firstLine="709"/>
        <w:jc w:val="both"/>
        <w:rPr>
          <w:rFonts w:ascii="Times New Roman" w:hAnsi="Times New Roman" w:cs="Times New Roman"/>
        </w:rPr>
      </w:pPr>
      <w:r w:rsidRPr="00E74F8F">
        <w:rPr>
          <w:rFonts w:ascii="Times New Roman" w:hAnsi="Times New Roman" w:cs="Times New Roman"/>
          <w:sz w:val="24"/>
          <w:szCs w:val="24"/>
        </w:rPr>
        <w:t>Заболевания, выявленные в ходе профилактического исследования распределились следующим образом: на первом месте – психические расстройства, на втором – болезни глаза и его придаточного аппарата, на третьем – заболевания костно-мышечной системы, на четвертом – заболевания нервной системы, на пятом – заболевания системы пищеварения), на шестом – врожденные аномалии (пороки развития)</w:t>
      </w:r>
      <w:proofErr w:type="gramStart"/>
      <w:r w:rsidRPr="00E74F8F">
        <w:rPr>
          <w:rFonts w:ascii="Times New Roman" w:hAnsi="Times New Roman" w:cs="Times New Roman"/>
          <w:sz w:val="24"/>
          <w:szCs w:val="24"/>
        </w:rPr>
        <w:t xml:space="preserve"> .</w:t>
      </w:r>
      <w:proofErr w:type="gramEnd"/>
    </w:p>
    <w:p w:rsidR="00E74F8F" w:rsidRPr="00E74F8F" w:rsidRDefault="00E74F8F" w:rsidP="004B6E85">
      <w:pPr>
        <w:pStyle w:val="2"/>
        <w:spacing w:line="240" w:lineRule="auto"/>
        <w:ind w:firstLine="708"/>
        <w:jc w:val="both"/>
      </w:pPr>
      <w:r w:rsidRPr="00E74F8F">
        <w:rPr>
          <w:b w:val="0"/>
        </w:rPr>
        <w:t xml:space="preserve">В результате диспансеризации  впервые выявлено  224  заболеваний (2018 г. – 327, 2019г. - 216). </w:t>
      </w:r>
    </w:p>
    <w:p w:rsidR="00E74F8F" w:rsidRPr="00E74F8F" w:rsidRDefault="00E74F8F" w:rsidP="004B6E85">
      <w:pPr>
        <w:pStyle w:val="ConsPlusNormal"/>
        <w:ind w:firstLine="708"/>
        <w:jc w:val="both"/>
        <w:rPr>
          <w:rFonts w:ascii="Times New Roman" w:hAnsi="Times New Roman" w:cs="Times New Roman"/>
        </w:rPr>
      </w:pPr>
      <w:r w:rsidRPr="00E74F8F">
        <w:rPr>
          <w:rFonts w:ascii="Times New Roman" w:hAnsi="Times New Roman" w:cs="Times New Roman"/>
          <w:sz w:val="24"/>
          <w:szCs w:val="24"/>
        </w:rPr>
        <w:t xml:space="preserve">В ходе проведенной диспансеризации обследовано 390  детей – инвалидов:  у 37,4% -  инвалидность с рождения.  В соответствии с рекомендациями  специалистов по итогам 2018 года в исполнении  индивидуальной  программы  реабилитации  нуждалось  451 ребенок.  У 81,6 %  детей индивидуальная программа реабилитации выполнена в полном объеме, у 16,2 % -  выполнена частично и в 2,2 % детей начато выполнение индивидуальной программы реабилитации  по рекомендации специалистов. </w:t>
      </w:r>
    </w:p>
    <w:p w:rsidR="00E74F8F" w:rsidRPr="00E74F8F" w:rsidRDefault="00E74F8F" w:rsidP="004B6E85">
      <w:pPr>
        <w:pStyle w:val="2"/>
        <w:spacing w:line="240" w:lineRule="auto"/>
        <w:ind w:firstLine="708"/>
        <w:jc w:val="both"/>
      </w:pPr>
      <w:r w:rsidRPr="00E74F8F">
        <w:rPr>
          <w:b w:val="0"/>
        </w:rPr>
        <w:t xml:space="preserve">По итогам диспансеризации в реабилитационном лечении в амбулаторных условиях и в условиях дневного стационара  нуждаются 808 детей. Санаторно-курортное лечение необходимо провести 2  детям. </w:t>
      </w:r>
    </w:p>
    <w:p w:rsidR="00E74F8F" w:rsidRPr="00E74F8F" w:rsidRDefault="00E74F8F" w:rsidP="004B6E85">
      <w:pPr>
        <w:spacing w:line="240" w:lineRule="auto"/>
        <w:ind w:firstLine="700"/>
        <w:jc w:val="both"/>
        <w:rPr>
          <w:rFonts w:ascii="Times New Roman" w:hAnsi="Times New Roman" w:cs="Times New Roman"/>
        </w:rPr>
      </w:pPr>
      <w:r w:rsidRPr="00E74F8F">
        <w:rPr>
          <w:rFonts w:ascii="Times New Roman" w:hAnsi="Times New Roman" w:cs="Times New Roman"/>
        </w:rPr>
        <w:t xml:space="preserve">Проведенная в 2020 году соответствии с приказом Министерства здравоохранения Российской Федерации № 216н от 11.04.2013г.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диспансеризация показала следующие результаты. Всего прошли  диспансеризацию 1705 детей. </w:t>
      </w:r>
    </w:p>
    <w:p w:rsidR="00E74F8F" w:rsidRPr="00E74F8F" w:rsidRDefault="00E74F8F" w:rsidP="004B6E85">
      <w:pPr>
        <w:pStyle w:val="2"/>
        <w:spacing w:line="240" w:lineRule="auto"/>
        <w:ind w:firstLine="700"/>
        <w:jc w:val="both"/>
      </w:pPr>
      <w:r w:rsidRPr="00E74F8F">
        <w:rPr>
          <w:b w:val="0"/>
        </w:rPr>
        <w:t xml:space="preserve">По результатам  проведенной диспансеризации к </w:t>
      </w:r>
      <w:r w:rsidRPr="00E74F8F">
        <w:rPr>
          <w:b w:val="0"/>
          <w:lang w:val="en-US"/>
        </w:rPr>
        <w:t>I</w:t>
      </w:r>
      <w:r w:rsidRPr="00E74F8F">
        <w:rPr>
          <w:b w:val="0"/>
        </w:rPr>
        <w:t xml:space="preserve"> и </w:t>
      </w:r>
      <w:r w:rsidRPr="00E74F8F">
        <w:rPr>
          <w:b w:val="0"/>
          <w:lang w:val="en-US"/>
        </w:rPr>
        <w:t>II</w:t>
      </w:r>
      <w:r w:rsidRPr="00E74F8F">
        <w:rPr>
          <w:b w:val="0"/>
        </w:rPr>
        <w:t xml:space="preserve"> группам здоровья, не требующим специального медицинского наблюдения,  были отнесены  76,0 % детей, </w:t>
      </w:r>
      <w:r w:rsidRPr="00E74F8F">
        <w:rPr>
          <w:b w:val="0"/>
          <w:color w:val="000000"/>
        </w:rPr>
        <w:t xml:space="preserve"> </w:t>
      </w:r>
      <w:r w:rsidRPr="00E74F8F">
        <w:rPr>
          <w:b w:val="0"/>
        </w:rPr>
        <w:t xml:space="preserve">к </w:t>
      </w:r>
      <w:r w:rsidRPr="00E74F8F">
        <w:rPr>
          <w:b w:val="0"/>
          <w:lang w:val="en-US"/>
        </w:rPr>
        <w:t>III</w:t>
      </w:r>
      <w:r w:rsidRPr="00E74F8F">
        <w:rPr>
          <w:b w:val="0"/>
        </w:rPr>
        <w:t xml:space="preserve"> – 20,0 %, к </w:t>
      </w:r>
      <w:r w:rsidRPr="00E74F8F">
        <w:rPr>
          <w:b w:val="0"/>
          <w:lang w:val="en-US"/>
        </w:rPr>
        <w:t>IV</w:t>
      </w:r>
      <w:r w:rsidRPr="00E74F8F">
        <w:rPr>
          <w:b w:val="0"/>
        </w:rPr>
        <w:t xml:space="preserve"> и </w:t>
      </w:r>
      <w:r w:rsidRPr="00E74F8F">
        <w:rPr>
          <w:b w:val="0"/>
          <w:lang w:val="en-US"/>
        </w:rPr>
        <w:t>V</w:t>
      </w:r>
      <w:r w:rsidRPr="00E74F8F">
        <w:rPr>
          <w:b w:val="0"/>
        </w:rPr>
        <w:t xml:space="preserve"> – 4,0 % .</w:t>
      </w:r>
    </w:p>
    <w:p w:rsidR="00E74F8F" w:rsidRPr="00E74F8F" w:rsidRDefault="00E74F8F" w:rsidP="004B6E85">
      <w:pPr>
        <w:pStyle w:val="ConsPlusNormal"/>
        <w:ind w:firstLine="709"/>
        <w:jc w:val="both"/>
        <w:rPr>
          <w:rFonts w:ascii="Times New Roman" w:hAnsi="Times New Roman" w:cs="Times New Roman"/>
        </w:rPr>
      </w:pPr>
      <w:proofErr w:type="gramStart"/>
      <w:r w:rsidRPr="00E74F8F">
        <w:rPr>
          <w:rFonts w:ascii="Times New Roman" w:hAnsi="Times New Roman" w:cs="Times New Roman"/>
          <w:sz w:val="24"/>
          <w:szCs w:val="24"/>
        </w:rPr>
        <w:t>Заболевания, выявленные в ходе профилактического исследования распределились следующим образом: на первом месте – болезни костно-мышечной системы и соединительной ткани,  на втором - болезни глаза и его придаточного аппарата, на третьем – болезни органов пищеварения, на четвертом –  болезни  нервной системы,   на пятом месте – болезни эндокринной системы расстройства питания и нарушения обмена веществ</w:t>
      </w:r>
      <w:r w:rsidRPr="00E74F8F">
        <w:rPr>
          <w:rFonts w:ascii="Times New Roman" w:hAnsi="Times New Roman" w:cs="Times New Roman"/>
        </w:rPr>
        <w:t>,</w:t>
      </w:r>
      <w:r w:rsidRPr="00E74F8F">
        <w:rPr>
          <w:rFonts w:ascii="Times New Roman" w:hAnsi="Times New Roman" w:cs="Times New Roman"/>
          <w:sz w:val="24"/>
          <w:szCs w:val="24"/>
        </w:rPr>
        <w:t xml:space="preserve"> на шестом – врожденные аномалии (пороки развития).</w:t>
      </w:r>
      <w:proofErr w:type="gramEnd"/>
    </w:p>
    <w:p w:rsidR="00E74F8F" w:rsidRPr="00E74F8F" w:rsidRDefault="00E74F8F" w:rsidP="004B6E85">
      <w:pPr>
        <w:pStyle w:val="2"/>
        <w:spacing w:line="240" w:lineRule="auto"/>
        <w:ind w:firstLine="708"/>
        <w:jc w:val="both"/>
      </w:pPr>
      <w:r w:rsidRPr="00E74F8F">
        <w:rPr>
          <w:b w:val="0"/>
        </w:rPr>
        <w:t xml:space="preserve">В результате диспансеризации  впервые выявлено  388  заболеваний. </w:t>
      </w:r>
    </w:p>
    <w:p w:rsidR="00E74F8F" w:rsidRPr="00E74F8F" w:rsidRDefault="00E74F8F" w:rsidP="004B6E85">
      <w:pPr>
        <w:pStyle w:val="ConsPlusNormal"/>
        <w:ind w:firstLine="708"/>
        <w:jc w:val="both"/>
        <w:rPr>
          <w:rFonts w:ascii="Times New Roman" w:hAnsi="Times New Roman" w:cs="Times New Roman"/>
        </w:rPr>
      </w:pPr>
      <w:r w:rsidRPr="00E74F8F">
        <w:rPr>
          <w:rFonts w:ascii="Times New Roman" w:hAnsi="Times New Roman" w:cs="Times New Roman"/>
          <w:sz w:val="24"/>
          <w:szCs w:val="24"/>
        </w:rPr>
        <w:t xml:space="preserve">В ходе проведенной диспансеризации обследовано 48  детей-инвалидов. В соответствии с рекомендациями  специалистов по итогам диспансеризации 2019 года в исполнении  индивидуальной  программы  реабилитации  нуждалось 52  человека.  У   69,2 %  детей индивидуальная программа реабилитации выполнена в полном объеме, у 13,5 %   выполнена частично и в 11,5%  детей начато выполнение индивидуальной программы реабилитации  по рекомендации специалистов. </w:t>
      </w:r>
    </w:p>
    <w:p w:rsidR="00E74F8F" w:rsidRDefault="00E74F8F" w:rsidP="004B6E85">
      <w:pPr>
        <w:spacing w:line="240" w:lineRule="auto"/>
        <w:ind w:firstLine="720"/>
        <w:jc w:val="both"/>
        <w:rPr>
          <w:rFonts w:ascii="Times New Roman" w:hAnsi="Times New Roman" w:cs="Times New Roman"/>
        </w:rPr>
      </w:pPr>
      <w:r w:rsidRPr="00E74F8F">
        <w:rPr>
          <w:rFonts w:ascii="Times New Roman" w:hAnsi="Times New Roman" w:cs="Times New Roman"/>
        </w:rPr>
        <w:t xml:space="preserve">По итогам диспансеризации детей-сирот и </w:t>
      </w:r>
      <w:proofErr w:type="gramStart"/>
      <w:r w:rsidRPr="00E74F8F">
        <w:rPr>
          <w:rFonts w:ascii="Times New Roman" w:hAnsi="Times New Roman" w:cs="Times New Roman"/>
        </w:rPr>
        <w:t>детей, оставшихся без попечения родителей за 2019 год в течение 2019 года были</w:t>
      </w:r>
      <w:proofErr w:type="gramEnd"/>
      <w:r w:rsidRPr="00E74F8F">
        <w:rPr>
          <w:rFonts w:ascii="Times New Roman" w:hAnsi="Times New Roman" w:cs="Times New Roman"/>
        </w:rPr>
        <w:t xml:space="preserve"> проведены  лечебно-оздоровительные и реабилитационные мероприятия, нуждающимся в этом детям: в амбулаторно-поликлинических учреждениях и в условиях дневного стационара пролечены  265 человек. В условиях областного учреждения пролечено 2 ребенка. Двое детей получили лечение в санаторных условиях. </w:t>
      </w:r>
    </w:p>
    <w:p w:rsidR="004B6E85" w:rsidRPr="00E74F8F" w:rsidRDefault="004B6E85" w:rsidP="004B6E85">
      <w:pPr>
        <w:spacing w:line="240" w:lineRule="auto"/>
        <w:ind w:firstLine="720"/>
        <w:jc w:val="both"/>
        <w:rPr>
          <w:rFonts w:ascii="Times New Roman" w:hAnsi="Times New Roman" w:cs="Times New Roman"/>
        </w:rPr>
      </w:pPr>
    </w:p>
    <w:p w:rsidR="00E74F8F" w:rsidRPr="00E74F8F" w:rsidRDefault="00E74F8F" w:rsidP="00E74F8F">
      <w:pPr>
        <w:pStyle w:val="a7"/>
        <w:suppressAutoHyphens/>
        <w:spacing w:line="288" w:lineRule="auto"/>
        <w:ind w:left="0"/>
        <w:jc w:val="center"/>
        <w:rPr>
          <w:rFonts w:ascii="Times New Roman" w:hAnsi="Times New Roman" w:cs="Times New Roman"/>
          <w:b/>
          <w:color w:val="0000FF"/>
        </w:rPr>
      </w:pPr>
    </w:p>
    <w:p w:rsidR="00E74F8F" w:rsidRPr="00E74F8F" w:rsidRDefault="00E74F8F" w:rsidP="004B6E85">
      <w:pPr>
        <w:pStyle w:val="a7"/>
        <w:suppressAutoHyphens/>
        <w:ind w:left="0"/>
        <w:jc w:val="center"/>
        <w:rPr>
          <w:rFonts w:ascii="Times New Roman" w:hAnsi="Times New Roman" w:cs="Times New Roman"/>
          <w:b/>
          <w:color w:val="0000FF"/>
        </w:rPr>
      </w:pPr>
      <w:r w:rsidRPr="00E74F8F">
        <w:rPr>
          <w:rFonts w:ascii="Times New Roman" w:hAnsi="Times New Roman" w:cs="Times New Roman"/>
          <w:b/>
          <w:color w:val="0000FF"/>
        </w:rPr>
        <w:t xml:space="preserve">Обязательное медицинское страхование женщин и детей, </w:t>
      </w:r>
    </w:p>
    <w:p w:rsidR="00E74F8F" w:rsidRPr="00E74F8F" w:rsidRDefault="00E74F8F" w:rsidP="004B6E85">
      <w:pPr>
        <w:pStyle w:val="a7"/>
        <w:suppressAutoHyphens/>
        <w:ind w:left="0"/>
        <w:jc w:val="center"/>
        <w:rPr>
          <w:rFonts w:ascii="Times New Roman" w:hAnsi="Times New Roman" w:cs="Times New Roman"/>
          <w:b/>
          <w:kern w:val="2"/>
        </w:rPr>
      </w:pPr>
      <w:r w:rsidRPr="00E74F8F">
        <w:rPr>
          <w:rFonts w:ascii="Times New Roman" w:hAnsi="Times New Roman" w:cs="Times New Roman"/>
          <w:b/>
          <w:color w:val="0000FF"/>
        </w:rPr>
        <w:t>обеспечение доступности и качества медицинской помощи женщинам и детям, включая лекарственную</w:t>
      </w:r>
    </w:p>
    <w:p w:rsidR="00E74F8F" w:rsidRPr="00E74F8F" w:rsidRDefault="00E74F8F" w:rsidP="004B6E85">
      <w:pPr>
        <w:pStyle w:val="a7"/>
        <w:suppressAutoHyphens/>
        <w:ind w:left="0"/>
        <w:jc w:val="center"/>
        <w:rPr>
          <w:rFonts w:ascii="Times New Roman" w:hAnsi="Times New Roman" w:cs="Times New Roman"/>
          <w:b/>
          <w:kern w:val="2"/>
        </w:rPr>
      </w:pPr>
    </w:p>
    <w:p w:rsidR="00E74F8F" w:rsidRPr="00E74F8F" w:rsidRDefault="00E74F8F" w:rsidP="004B6E85">
      <w:pPr>
        <w:spacing w:line="240" w:lineRule="auto"/>
        <w:ind w:firstLine="709"/>
        <w:contextualSpacing/>
        <w:jc w:val="both"/>
        <w:rPr>
          <w:rFonts w:ascii="Times New Roman" w:hAnsi="Times New Roman" w:cs="Times New Roman"/>
          <w:lang w:eastAsia="zh-CN"/>
        </w:rPr>
      </w:pPr>
      <w:r w:rsidRPr="00E74F8F">
        <w:rPr>
          <w:rFonts w:ascii="Times New Roman" w:hAnsi="Times New Roman" w:cs="Times New Roman"/>
        </w:rPr>
        <w:t>Основополагающей программой, регламентирующей оказание меди</w:t>
      </w:r>
      <w:r w:rsidR="00590EFE">
        <w:rPr>
          <w:rFonts w:ascii="Times New Roman" w:hAnsi="Times New Roman" w:cs="Times New Roman"/>
        </w:rPr>
        <w:t>цинской помощи женщинам и детям</w:t>
      </w:r>
      <w:bookmarkStart w:id="2" w:name="_GoBack"/>
      <w:bookmarkEnd w:id="2"/>
      <w:r w:rsidRPr="00E74F8F">
        <w:rPr>
          <w:rFonts w:ascii="Times New Roman" w:hAnsi="Times New Roman" w:cs="Times New Roman"/>
        </w:rPr>
        <w:t xml:space="preserve">, является ежегодно утверждаемая Программа государственных гарантий оказания гражданам Липецкой области бесплатной медицинской помощи. Программой </w:t>
      </w:r>
      <w:proofErr w:type="gramStart"/>
      <w:r w:rsidRPr="00E74F8F">
        <w:rPr>
          <w:rFonts w:ascii="Times New Roman" w:hAnsi="Times New Roman" w:cs="Times New Roman"/>
        </w:rPr>
        <w:t>определены</w:t>
      </w:r>
      <w:proofErr w:type="gramEnd"/>
      <w:r w:rsidRPr="00E74F8F">
        <w:rPr>
          <w:rFonts w:ascii="Times New Roman" w:hAnsi="Times New Roman" w:cs="Times New Roman"/>
        </w:rPr>
        <w:t xml:space="preserve">: </w:t>
      </w:r>
    </w:p>
    <w:p w:rsidR="00E74F8F" w:rsidRPr="00E74F8F" w:rsidRDefault="00E74F8F" w:rsidP="004B6E85">
      <w:pPr>
        <w:spacing w:line="240" w:lineRule="auto"/>
        <w:ind w:firstLine="709"/>
        <w:contextualSpacing/>
        <w:jc w:val="both"/>
        <w:rPr>
          <w:rFonts w:ascii="Times New Roman" w:hAnsi="Times New Roman" w:cs="Times New Roman"/>
        </w:rPr>
      </w:pPr>
      <w:r w:rsidRPr="00E74F8F">
        <w:rPr>
          <w:rFonts w:ascii="Times New Roman" w:hAnsi="Times New Roman" w:cs="Times New Roman"/>
        </w:rPr>
        <w:t xml:space="preserve">- порядок и условия предоставления медицинской помощи, в том числе сроки ожидания медицинской помощи, оказываемой в плановом порядке; </w:t>
      </w:r>
    </w:p>
    <w:p w:rsidR="00E74F8F" w:rsidRPr="00E74F8F" w:rsidRDefault="00E74F8F" w:rsidP="004B6E85">
      <w:pPr>
        <w:spacing w:line="240" w:lineRule="auto"/>
        <w:ind w:firstLine="709"/>
        <w:contextualSpacing/>
        <w:jc w:val="both"/>
        <w:rPr>
          <w:rFonts w:ascii="Times New Roman" w:hAnsi="Times New Roman" w:cs="Times New Roman"/>
        </w:rPr>
      </w:pPr>
      <w:r w:rsidRPr="00E74F8F">
        <w:rPr>
          <w:rFonts w:ascii="Times New Roman" w:hAnsi="Times New Roman" w:cs="Times New Roman"/>
        </w:rPr>
        <w:t xml:space="preserve">-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Липецкой области; </w:t>
      </w:r>
    </w:p>
    <w:p w:rsidR="00E74F8F" w:rsidRPr="00E74F8F" w:rsidRDefault="00E74F8F" w:rsidP="004B6E85">
      <w:pPr>
        <w:spacing w:line="240" w:lineRule="auto"/>
        <w:ind w:firstLine="709"/>
        <w:contextualSpacing/>
        <w:jc w:val="both"/>
        <w:rPr>
          <w:rFonts w:ascii="Times New Roman" w:hAnsi="Times New Roman" w:cs="Times New Roman"/>
        </w:rPr>
      </w:pPr>
      <w:proofErr w:type="gramStart"/>
      <w:r w:rsidRPr="00E74F8F">
        <w:rPr>
          <w:rFonts w:ascii="Times New Roman" w:hAnsi="Times New Roman" w:cs="Times New Roman"/>
        </w:rPr>
        <w:t>- перечень лекарственных препаратов, отпускаемых населению, в том числе детям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E74F8F" w:rsidRPr="00E74F8F" w:rsidRDefault="00E74F8F" w:rsidP="004B6E85">
      <w:pPr>
        <w:autoSpaceDE w:val="0"/>
        <w:spacing w:line="240" w:lineRule="auto"/>
        <w:ind w:firstLine="709"/>
        <w:contextualSpacing/>
        <w:jc w:val="both"/>
        <w:rPr>
          <w:rFonts w:ascii="Times New Roman" w:hAnsi="Times New Roman" w:cs="Times New Roman"/>
        </w:rPr>
      </w:pPr>
      <w:r w:rsidRPr="00E74F8F">
        <w:rPr>
          <w:rFonts w:ascii="Times New Roman" w:hAnsi="Times New Roman" w:cs="Times New Roman"/>
        </w:rPr>
        <w:t>- перечень жизненно необходимых и важнейших лекарственных препаратов и изделий медицинского назначения,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w:t>
      </w:r>
    </w:p>
    <w:p w:rsidR="00E74F8F" w:rsidRPr="00E74F8F" w:rsidRDefault="00E74F8F" w:rsidP="004B6E85">
      <w:pPr>
        <w:autoSpaceDE w:val="0"/>
        <w:spacing w:line="240" w:lineRule="auto"/>
        <w:ind w:firstLine="709"/>
        <w:contextualSpacing/>
        <w:jc w:val="both"/>
        <w:rPr>
          <w:rFonts w:ascii="Times New Roman" w:hAnsi="Times New Roman" w:cs="Times New Roman"/>
        </w:rPr>
      </w:pPr>
      <w:r w:rsidRPr="00E74F8F">
        <w:rPr>
          <w:rFonts w:ascii="Times New Roman" w:hAnsi="Times New Roman" w:cs="Times New Roman"/>
        </w:rPr>
        <w:t>- перечень медицинских организаций, участвующих в реализации Программы;</w:t>
      </w:r>
    </w:p>
    <w:p w:rsidR="00E74F8F" w:rsidRPr="00E74F8F" w:rsidRDefault="00E74F8F" w:rsidP="004B6E85">
      <w:pPr>
        <w:autoSpaceDE w:val="0"/>
        <w:spacing w:line="240" w:lineRule="auto"/>
        <w:ind w:firstLine="709"/>
        <w:contextualSpacing/>
        <w:jc w:val="both"/>
        <w:rPr>
          <w:rFonts w:ascii="Times New Roman" w:hAnsi="Times New Roman" w:cs="Times New Roman"/>
        </w:rPr>
      </w:pPr>
      <w:r w:rsidRPr="00E74F8F">
        <w:rPr>
          <w:rFonts w:ascii="Times New Roman" w:hAnsi="Times New Roman" w:cs="Times New Roman"/>
        </w:rPr>
        <w:t>- объем медицинской помощи, оказываемой в рамках Программы в соответствии с законодательством Российской Федерации об обязательном медицинском страховании;</w:t>
      </w:r>
    </w:p>
    <w:p w:rsidR="00E74F8F" w:rsidRPr="00E74F8F" w:rsidRDefault="00E74F8F" w:rsidP="004B6E85">
      <w:pPr>
        <w:autoSpaceDE w:val="0"/>
        <w:spacing w:line="240" w:lineRule="auto"/>
        <w:ind w:firstLine="709"/>
        <w:contextualSpacing/>
        <w:jc w:val="both"/>
        <w:rPr>
          <w:rFonts w:ascii="Times New Roman" w:hAnsi="Times New Roman" w:cs="Times New Roman"/>
        </w:rPr>
      </w:pPr>
      <w:r w:rsidRPr="00E74F8F">
        <w:rPr>
          <w:rFonts w:ascii="Times New Roman" w:hAnsi="Times New Roman" w:cs="Times New Roman"/>
        </w:rPr>
        <w:t xml:space="preserve">- объем медицинской помощи в расчете на одного жителя, стоимость объема медицинской помощи с учетом условий ее оказания, </w:t>
      </w:r>
      <w:proofErr w:type="spellStart"/>
      <w:r w:rsidRPr="00E74F8F">
        <w:rPr>
          <w:rFonts w:ascii="Times New Roman" w:hAnsi="Times New Roman" w:cs="Times New Roman"/>
        </w:rPr>
        <w:t>подушевой</w:t>
      </w:r>
      <w:proofErr w:type="spellEnd"/>
      <w:r w:rsidRPr="00E74F8F">
        <w:rPr>
          <w:rFonts w:ascii="Times New Roman" w:hAnsi="Times New Roman" w:cs="Times New Roman"/>
        </w:rPr>
        <w:t xml:space="preserve"> норматив финансирования, нормативы финансовых затрат на единицу объема медицинской помощи, порядок формирования и структура тарифов на медицинскую помощь и способы ее оплаты;</w:t>
      </w:r>
    </w:p>
    <w:p w:rsidR="00E74F8F" w:rsidRPr="00E74F8F" w:rsidRDefault="00E74F8F" w:rsidP="004B6E85">
      <w:pPr>
        <w:autoSpaceDE w:val="0"/>
        <w:spacing w:line="240" w:lineRule="auto"/>
        <w:ind w:firstLine="709"/>
        <w:contextualSpacing/>
        <w:jc w:val="both"/>
        <w:rPr>
          <w:rFonts w:ascii="Times New Roman" w:hAnsi="Times New Roman" w:cs="Times New Roman"/>
        </w:rPr>
      </w:pPr>
      <w:r w:rsidRPr="00E74F8F">
        <w:rPr>
          <w:rFonts w:ascii="Times New Roman" w:hAnsi="Times New Roman" w:cs="Times New Roman"/>
        </w:rPr>
        <w:t>- перечень профилей и видов высокотехнологичной медицинской помощи, оказываемой в рамках государственного задания, сформированного в порядке, определяемом Министерством здравоохранения и социального развития Российской Федерации;</w:t>
      </w:r>
    </w:p>
    <w:p w:rsidR="00E74F8F" w:rsidRPr="00E74F8F" w:rsidRDefault="00E74F8F" w:rsidP="004B6E85">
      <w:pPr>
        <w:autoSpaceDE w:val="0"/>
        <w:spacing w:line="240" w:lineRule="auto"/>
        <w:ind w:firstLine="709"/>
        <w:contextualSpacing/>
        <w:jc w:val="both"/>
        <w:rPr>
          <w:rFonts w:ascii="Times New Roman" w:hAnsi="Times New Roman" w:cs="Times New Roman"/>
        </w:rPr>
      </w:pPr>
      <w:r w:rsidRPr="00E74F8F">
        <w:rPr>
          <w:rFonts w:ascii="Times New Roman" w:hAnsi="Times New Roman" w:cs="Times New Roman"/>
        </w:rPr>
        <w:t>- перечень мероприятий по профилактике заболеваний и формированию здорового образа жизни, осуществляемых в рамках Программы.</w:t>
      </w:r>
    </w:p>
    <w:p w:rsidR="00E74F8F" w:rsidRPr="00E74F8F" w:rsidRDefault="00E74F8F" w:rsidP="004B6E85">
      <w:pPr>
        <w:spacing w:line="240" w:lineRule="auto"/>
        <w:ind w:firstLine="708"/>
        <w:contextualSpacing/>
        <w:jc w:val="both"/>
        <w:rPr>
          <w:rFonts w:ascii="Times New Roman" w:hAnsi="Times New Roman" w:cs="Times New Roman"/>
        </w:rPr>
      </w:pPr>
      <w:proofErr w:type="gramStart"/>
      <w:r w:rsidRPr="00E74F8F">
        <w:rPr>
          <w:rFonts w:ascii="Times New Roman" w:hAnsi="Times New Roman" w:cs="Times New Roman"/>
          <w:spacing w:val="1"/>
        </w:rPr>
        <w:t xml:space="preserve">В области имеется развитая сеть медицинских организаций по оказанию квалифицированной  и  специализированной  медицинской помощи женщинам и детям: 15 женских консультаций, 42 </w:t>
      </w:r>
      <w:proofErr w:type="spellStart"/>
      <w:r w:rsidRPr="00E74F8F">
        <w:rPr>
          <w:rFonts w:ascii="Times New Roman" w:hAnsi="Times New Roman" w:cs="Times New Roman"/>
          <w:spacing w:val="1"/>
        </w:rPr>
        <w:t>акушерско</w:t>
      </w:r>
      <w:proofErr w:type="spellEnd"/>
      <w:r w:rsidRPr="00E74F8F">
        <w:rPr>
          <w:rFonts w:ascii="Times New Roman" w:hAnsi="Times New Roman" w:cs="Times New Roman"/>
          <w:spacing w:val="1"/>
        </w:rPr>
        <w:t xml:space="preserve"> - гинекологического кабинета, 8 родильных домов (отделений), областной перинатальный центр, 22 гинекологических отделения, медико-генетическая консультация, 1 областная и 2 городские детские больницы, 19 детских  консультаций  при  районных  больницах , 1 детская поликлиника при городской детской больнице г. Ельца,  7 городских</w:t>
      </w:r>
      <w:proofErr w:type="gramEnd"/>
      <w:r w:rsidRPr="00E74F8F">
        <w:rPr>
          <w:rFonts w:ascii="Times New Roman" w:hAnsi="Times New Roman" w:cs="Times New Roman"/>
          <w:spacing w:val="1"/>
        </w:rPr>
        <w:t xml:space="preserve"> детских поликлиник и 1 детское отделение в составе городской поликлиники г. Липецка, 3 детских поликлинических отделения при больницах г. Липецка, 1 детская поликлиника при областной детской больнице, 2 детских поликлинических отделения при областных медицинских  организациях, 2 детские молочные кухни, 2 детских санатория. </w:t>
      </w:r>
    </w:p>
    <w:p w:rsidR="00E74F8F" w:rsidRPr="00E74F8F" w:rsidRDefault="00E74F8F" w:rsidP="004B6E85">
      <w:pPr>
        <w:spacing w:line="240" w:lineRule="auto"/>
        <w:ind w:firstLine="709"/>
        <w:contextualSpacing/>
        <w:jc w:val="both"/>
        <w:rPr>
          <w:rFonts w:ascii="Times New Roman" w:hAnsi="Times New Roman" w:cs="Times New Roman"/>
          <w:kern w:val="2"/>
        </w:rPr>
      </w:pPr>
      <w:r w:rsidRPr="00E74F8F">
        <w:rPr>
          <w:rFonts w:ascii="Times New Roman" w:hAnsi="Times New Roman" w:cs="Times New Roman"/>
        </w:rPr>
        <w:t>Для оказания стационарной помощи женщинам и детям в области развернуто 1152 койки для детей</w:t>
      </w:r>
      <w:r w:rsidRPr="00E74F8F">
        <w:rPr>
          <w:rFonts w:ascii="Times New Roman" w:hAnsi="Times New Roman" w:cs="Times New Roman"/>
          <w:b/>
        </w:rPr>
        <w:t xml:space="preserve"> </w:t>
      </w:r>
      <w:r w:rsidRPr="00E74F8F">
        <w:rPr>
          <w:rFonts w:ascii="Times New Roman" w:hAnsi="Times New Roman" w:cs="Times New Roman"/>
        </w:rPr>
        <w:t>и 567 коек акушерско-гинекологического профиля, из них 142 койки для беременных и рожениц, 136 коек для патологии беременности, 289 гинекологических коек</w:t>
      </w:r>
      <w:r w:rsidRPr="00E74F8F">
        <w:rPr>
          <w:rFonts w:ascii="Times New Roman" w:hAnsi="Times New Roman" w:cs="Times New Roman"/>
          <w:b/>
        </w:rPr>
        <w:t xml:space="preserve">. </w:t>
      </w:r>
      <w:r w:rsidRPr="00E74F8F">
        <w:rPr>
          <w:rFonts w:ascii="Times New Roman" w:hAnsi="Times New Roman" w:cs="Times New Roman"/>
        </w:rPr>
        <w:t>Удельный вес коек для беременных и рожениц в структуре всех акушерских коек составил 51,1 %.</w:t>
      </w:r>
      <w:r w:rsidRPr="00E74F8F">
        <w:rPr>
          <w:rFonts w:ascii="Times New Roman" w:hAnsi="Times New Roman" w:cs="Times New Roman"/>
          <w:b/>
        </w:rPr>
        <w:t xml:space="preserve"> </w:t>
      </w:r>
    </w:p>
    <w:p w:rsidR="00E74F8F" w:rsidRPr="00E74F8F" w:rsidRDefault="00E74F8F" w:rsidP="004B6E85">
      <w:pPr>
        <w:spacing w:line="240" w:lineRule="auto"/>
        <w:ind w:firstLine="709"/>
        <w:contextualSpacing/>
        <w:jc w:val="both"/>
        <w:rPr>
          <w:rFonts w:ascii="Times New Roman" w:hAnsi="Times New Roman" w:cs="Times New Roman"/>
        </w:rPr>
      </w:pPr>
      <w:r w:rsidRPr="00E74F8F">
        <w:rPr>
          <w:rFonts w:ascii="Times New Roman" w:hAnsi="Times New Roman" w:cs="Times New Roman"/>
          <w:kern w:val="2"/>
        </w:rPr>
        <w:t>Четкое соблюдение маршрутизации беременных позволило улучшить качество и доступность медицинской помощи женщинам во время беременности, в родах и послеродовом периоде.</w:t>
      </w:r>
    </w:p>
    <w:p w:rsidR="00E74F8F" w:rsidRPr="00E74F8F" w:rsidRDefault="00E74F8F" w:rsidP="004B6E85">
      <w:pPr>
        <w:spacing w:line="240" w:lineRule="auto"/>
        <w:ind w:firstLine="709"/>
        <w:contextualSpacing/>
        <w:jc w:val="both"/>
        <w:rPr>
          <w:rFonts w:ascii="Times New Roman" w:hAnsi="Times New Roman" w:cs="Times New Roman"/>
        </w:rPr>
      </w:pPr>
      <w:r w:rsidRPr="00E74F8F">
        <w:rPr>
          <w:rFonts w:ascii="Times New Roman" w:hAnsi="Times New Roman" w:cs="Times New Roman"/>
        </w:rPr>
        <w:t xml:space="preserve">Обеспеченность врачами акушерами – гинекологами в 2020 году составила 3,3 на 10 тыс.  женского населения (2019 г. – 3,4, 2018 г. – 3,5 на 10 тысяч женского населения), врачами </w:t>
      </w:r>
      <w:r w:rsidRPr="00E74F8F">
        <w:rPr>
          <w:rFonts w:ascii="Times New Roman" w:hAnsi="Times New Roman" w:cs="Times New Roman"/>
        </w:rPr>
        <w:lastRenderedPageBreak/>
        <w:t>педиатрами –  12,0 на 10 тыс. детского населения</w:t>
      </w:r>
      <w:r w:rsidRPr="00E74F8F">
        <w:rPr>
          <w:rFonts w:ascii="Times New Roman" w:hAnsi="Times New Roman" w:cs="Times New Roman"/>
          <w:b/>
        </w:rPr>
        <w:t xml:space="preserve"> </w:t>
      </w:r>
      <w:r w:rsidRPr="00E74F8F">
        <w:rPr>
          <w:rFonts w:ascii="Times New Roman" w:hAnsi="Times New Roman" w:cs="Times New Roman"/>
        </w:rPr>
        <w:t xml:space="preserve">(2019 г. – 12,2, 2018 г. – 12,2 на 10 тысяч детского населения). </w:t>
      </w:r>
    </w:p>
    <w:p w:rsidR="00E74F8F" w:rsidRPr="00E74F8F" w:rsidRDefault="00E74F8F" w:rsidP="004B6E85">
      <w:pPr>
        <w:spacing w:line="240" w:lineRule="auto"/>
        <w:ind w:firstLine="709"/>
        <w:contextualSpacing/>
        <w:jc w:val="both"/>
        <w:rPr>
          <w:rFonts w:ascii="Times New Roman" w:hAnsi="Times New Roman" w:cs="Times New Roman"/>
          <w:bCs/>
        </w:rPr>
      </w:pPr>
      <w:proofErr w:type="gramStart"/>
      <w:r w:rsidRPr="00E74F8F">
        <w:rPr>
          <w:rFonts w:ascii="Times New Roman" w:hAnsi="Times New Roman" w:cs="Times New Roman"/>
        </w:rPr>
        <w:t xml:space="preserve">В целях оказания эффективной и доступной медицинской помощи в службе охраны материнства и детства внедрены и активно работают </w:t>
      </w:r>
      <w:proofErr w:type="spellStart"/>
      <w:r w:rsidRPr="00E74F8F">
        <w:rPr>
          <w:rFonts w:ascii="Times New Roman" w:hAnsi="Times New Roman" w:cs="Times New Roman"/>
        </w:rPr>
        <w:t>стационарзамещающие</w:t>
      </w:r>
      <w:proofErr w:type="spellEnd"/>
      <w:r w:rsidRPr="00E74F8F">
        <w:rPr>
          <w:rFonts w:ascii="Times New Roman" w:hAnsi="Times New Roman" w:cs="Times New Roman"/>
        </w:rPr>
        <w:t xml:space="preserve"> технологии, развернуто 177</w:t>
      </w:r>
      <w:r w:rsidRPr="00E74F8F">
        <w:rPr>
          <w:rFonts w:ascii="Times New Roman" w:hAnsi="Times New Roman" w:cs="Times New Roman"/>
          <w:i/>
        </w:rPr>
        <w:t xml:space="preserve"> </w:t>
      </w:r>
      <w:r w:rsidRPr="00E74F8F">
        <w:rPr>
          <w:rFonts w:ascii="Times New Roman" w:hAnsi="Times New Roman" w:cs="Times New Roman"/>
        </w:rPr>
        <w:t>коек дневного пребывания для детей и 79 коек акушерско-гинекологического профиля при 2-х сменной работе коек, на которых за 2020 год пролечено 1942 ребенка, 451 беременная и 1226 гинекологических больных.</w:t>
      </w:r>
      <w:proofErr w:type="gramEnd"/>
    </w:p>
    <w:p w:rsidR="00E74F8F" w:rsidRPr="00E74F8F" w:rsidRDefault="00E74F8F" w:rsidP="004B6E85">
      <w:pPr>
        <w:spacing w:line="240" w:lineRule="auto"/>
        <w:ind w:firstLine="709"/>
        <w:contextualSpacing/>
        <w:jc w:val="both"/>
        <w:rPr>
          <w:rFonts w:ascii="Times New Roman" w:hAnsi="Times New Roman" w:cs="Times New Roman"/>
        </w:rPr>
      </w:pPr>
      <w:r w:rsidRPr="00E74F8F">
        <w:rPr>
          <w:rFonts w:ascii="Times New Roman" w:hAnsi="Times New Roman" w:cs="Times New Roman"/>
        </w:rPr>
        <w:t>Срочная (в рамках Программы государственных гарантий оказания гражданам Российской Федерации на территории Липецкой области бесплатной медицинской помощи) и плановая медицинские помощи оказываются семьям соотечественников учреждениями здравоохранения также за счет областных бюджетных средств. Все дети в семьях вынужденных переселенцев имеют полюсы обязательного медицинского страхования.</w:t>
      </w:r>
    </w:p>
    <w:p w:rsidR="00E74F8F" w:rsidRPr="00E74F8F" w:rsidRDefault="00E74F8F" w:rsidP="004B6E85">
      <w:pPr>
        <w:spacing w:line="240" w:lineRule="auto"/>
        <w:ind w:firstLine="709"/>
        <w:contextualSpacing/>
        <w:jc w:val="both"/>
        <w:rPr>
          <w:rFonts w:ascii="Times New Roman" w:hAnsi="Times New Roman" w:cs="Times New Roman"/>
        </w:rPr>
      </w:pPr>
      <w:r w:rsidRPr="00E74F8F">
        <w:rPr>
          <w:rFonts w:ascii="Times New Roman" w:hAnsi="Times New Roman" w:cs="Times New Roman"/>
        </w:rPr>
        <w:t xml:space="preserve">Одним из социально значимых проектов, реализуемых на территории области, является «Электронная регистратура», которая позволяет осуществлять запись детей, в том числе из районов области, на прием к врачу к определенной дате и времени, посредством Интернет через терминал, по телефону и непосредственно в регистратуре поликлиники. </w:t>
      </w:r>
    </w:p>
    <w:p w:rsidR="00E74F8F" w:rsidRPr="00E74F8F" w:rsidRDefault="00E74F8F" w:rsidP="004B6E85">
      <w:pPr>
        <w:spacing w:line="240" w:lineRule="auto"/>
        <w:ind w:firstLine="709"/>
        <w:contextualSpacing/>
        <w:jc w:val="both"/>
        <w:rPr>
          <w:rFonts w:ascii="Times New Roman" w:hAnsi="Times New Roman" w:cs="Times New Roman"/>
        </w:rPr>
      </w:pPr>
      <w:r w:rsidRPr="00E74F8F">
        <w:rPr>
          <w:rFonts w:ascii="Times New Roman" w:hAnsi="Times New Roman" w:cs="Times New Roman"/>
        </w:rPr>
        <w:t xml:space="preserve">Совершенствование региональной системы здравоохранения связано с реализацией программных мероприятий, продолжением работы по внедрению утвержденных федеральных стандартов оказания медицинской помощи детям, формированием регистра детей, страдающих </w:t>
      </w:r>
      <w:proofErr w:type="spellStart"/>
      <w:r w:rsidRPr="00E74F8F">
        <w:rPr>
          <w:rFonts w:ascii="Times New Roman" w:hAnsi="Times New Roman" w:cs="Times New Roman"/>
        </w:rPr>
        <w:t>орфанными</w:t>
      </w:r>
      <w:proofErr w:type="spellEnd"/>
      <w:r w:rsidRPr="00E74F8F">
        <w:rPr>
          <w:rFonts w:ascii="Times New Roman" w:hAnsi="Times New Roman" w:cs="Times New Roman"/>
        </w:rPr>
        <w:t xml:space="preserve"> (редкими) заболеваниями; повышением доступности и качества высокотехнологичной помощи, развитием телекоммуникационных технологий.</w:t>
      </w:r>
      <w:r w:rsidRPr="00E74F8F">
        <w:rPr>
          <w:rFonts w:ascii="Times New Roman" w:hAnsi="Times New Roman" w:cs="Times New Roman"/>
        </w:rPr>
        <w:tab/>
      </w:r>
    </w:p>
    <w:p w:rsidR="00E74F8F" w:rsidRPr="00E74F8F" w:rsidRDefault="00E74F8F" w:rsidP="004B6E85">
      <w:pPr>
        <w:spacing w:line="240" w:lineRule="auto"/>
        <w:ind w:firstLine="709"/>
        <w:contextualSpacing/>
        <w:jc w:val="both"/>
        <w:rPr>
          <w:rFonts w:ascii="Times New Roman" w:hAnsi="Times New Roman" w:cs="Times New Roman"/>
          <w:b/>
          <w:color w:val="0000FF"/>
        </w:rPr>
      </w:pPr>
    </w:p>
    <w:sectPr w:rsidR="00E74F8F" w:rsidRPr="00E74F8F" w:rsidSect="00924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C65BE"/>
    <w:rsid w:val="000672F2"/>
    <w:rsid w:val="001A6F5C"/>
    <w:rsid w:val="002E7B0B"/>
    <w:rsid w:val="00327C56"/>
    <w:rsid w:val="003575EB"/>
    <w:rsid w:val="003C65BE"/>
    <w:rsid w:val="003F4DC1"/>
    <w:rsid w:val="004B6E85"/>
    <w:rsid w:val="00590EFE"/>
    <w:rsid w:val="00657CEF"/>
    <w:rsid w:val="00712E6C"/>
    <w:rsid w:val="00807CDC"/>
    <w:rsid w:val="00835B1B"/>
    <w:rsid w:val="00924385"/>
    <w:rsid w:val="00927986"/>
    <w:rsid w:val="009921D8"/>
    <w:rsid w:val="0099330F"/>
    <w:rsid w:val="00A306FB"/>
    <w:rsid w:val="00A60440"/>
    <w:rsid w:val="00B0360D"/>
    <w:rsid w:val="00BB1E90"/>
    <w:rsid w:val="00C34BB7"/>
    <w:rsid w:val="00E26C5C"/>
    <w:rsid w:val="00E74F8F"/>
    <w:rsid w:val="00F61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85"/>
  </w:style>
  <w:style w:type="paragraph" w:styleId="1">
    <w:name w:val="heading 1"/>
    <w:basedOn w:val="a"/>
    <w:next w:val="a"/>
    <w:link w:val="10"/>
    <w:qFormat/>
    <w:rsid w:val="00E74F8F"/>
    <w:pPr>
      <w:keepNext/>
      <w:numPr>
        <w:numId w:val="2"/>
      </w:numPr>
      <w:suppressAutoHyphens/>
      <w:spacing w:after="0" w:line="240" w:lineRule="auto"/>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w:basedOn w:val="a"/>
    <w:uiPriority w:val="99"/>
    <w:rsid w:val="001A6F5C"/>
    <w:pPr>
      <w:tabs>
        <w:tab w:val="left" w:pos="6237"/>
      </w:tabs>
      <w:spacing w:after="0" w:line="240" w:lineRule="atLeast"/>
      <w:ind w:right="5670"/>
    </w:pPr>
    <w:rPr>
      <w:rFonts w:ascii="Times New Roman" w:eastAsia="Times New Roman" w:hAnsi="Times New Roman" w:cs="Times New Roman"/>
      <w:sz w:val="28"/>
      <w:szCs w:val="20"/>
    </w:rPr>
  </w:style>
  <w:style w:type="character" w:customStyle="1" w:styleId="10">
    <w:name w:val="Заголовок 1 Знак"/>
    <w:basedOn w:val="a0"/>
    <w:link w:val="1"/>
    <w:rsid w:val="00E74F8F"/>
    <w:rPr>
      <w:rFonts w:ascii="Times New Roman" w:eastAsia="Times New Roman" w:hAnsi="Times New Roman" w:cs="Times New Roman"/>
      <w:b/>
      <w:bCs/>
      <w:sz w:val="28"/>
      <w:szCs w:val="24"/>
      <w:lang w:eastAsia="zh-CN"/>
    </w:rPr>
  </w:style>
  <w:style w:type="character" w:styleId="a4">
    <w:name w:val="Hyperlink"/>
    <w:uiPriority w:val="99"/>
    <w:semiHidden/>
    <w:unhideWhenUsed/>
    <w:rsid w:val="00E74F8F"/>
    <w:rPr>
      <w:strike w:val="0"/>
      <w:dstrike w:val="0"/>
      <w:color w:val="0096FF"/>
      <w:u w:val="none"/>
      <w:effect w:val="none"/>
    </w:rPr>
  </w:style>
  <w:style w:type="character" w:styleId="a5">
    <w:name w:val="FollowedHyperlink"/>
    <w:basedOn w:val="a0"/>
    <w:uiPriority w:val="99"/>
    <w:semiHidden/>
    <w:unhideWhenUsed/>
    <w:rsid w:val="00E74F8F"/>
    <w:rPr>
      <w:color w:val="800080" w:themeColor="followedHyperlink"/>
      <w:u w:val="single"/>
    </w:rPr>
  </w:style>
  <w:style w:type="paragraph" w:styleId="HTML">
    <w:name w:val="HTML Preformatted"/>
    <w:basedOn w:val="a"/>
    <w:link w:val="HTML0"/>
    <w:semiHidden/>
    <w:unhideWhenUsed/>
    <w:rsid w:val="00E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semiHidden/>
    <w:rsid w:val="00E74F8F"/>
    <w:rPr>
      <w:rFonts w:ascii="Courier New" w:eastAsia="Times New Roman" w:hAnsi="Courier New" w:cs="Courier New"/>
      <w:sz w:val="20"/>
      <w:szCs w:val="20"/>
      <w:lang w:eastAsia="zh-CN"/>
    </w:rPr>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7"/>
    <w:uiPriority w:val="99"/>
    <w:semiHidden/>
    <w:locked/>
    <w:rsid w:val="00E74F8F"/>
    <w:rPr>
      <w:sz w:val="24"/>
      <w:szCs w:val="24"/>
      <w:lang w:val="x-none" w:eastAsia="zh-CN"/>
    </w:rPr>
  </w:style>
  <w:style w:type="paragraph" w:styleId="a7">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6"/>
    <w:uiPriority w:val="99"/>
    <w:semiHidden/>
    <w:unhideWhenUsed/>
    <w:qFormat/>
    <w:rsid w:val="00E74F8F"/>
    <w:pPr>
      <w:spacing w:after="0" w:line="240" w:lineRule="auto"/>
      <w:ind w:left="720"/>
      <w:contextualSpacing/>
    </w:pPr>
    <w:rPr>
      <w:sz w:val="24"/>
      <w:szCs w:val="24"/>
      <w:lang w:val="x-none" w:eastAsia="zh-CN"/>
    </w:rPr>
  </w:style>
  <w:style w:type="character" w:customStyle="1" w:styleId="a8">
    <w:name w:val="Нижний колонтитул Знак"/>
    <w:basedOn w:val="a0"/>
    <w:link w:val="a9"/>
    <w:semiHidden/>
    <w:locked/>
    <w:rsid w:val="00E74F8F"/>
    <w:rPr>
      <w:sz w:val="24"/>
      <w:szCs w:val="24"/>
      <w:lang w:eastAsia="zh-CN"/>
    </w:rPr>
  </w:style>
  <w:style w:type="paragraph" w:styleId="aa">
    <w:name w:val="Body Text"/>
    <w:basedOn w:val="a"/>
    <w:link w:val="ab"/>
    <w:semiHidden/>
    <w:unhideWhenUsed/>
    <w:rsid w:val="00E74F8F"/>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semiHidden/>
    <w:rsid w:val="00E74F8F"/>
    <w:rPr>
      <w:rFonts w:ascii="Times New Roman" w:eastAsia="Times New Roman" w:hAnsi="Times New Roman" w:cs="Times New Roman"/>
      <w:sz w:val="24"/>
      <w:szCs w:val="24"/>
      <w:lang w:eastAsia="zh-CN"/>
    </w:rPr>
  </w:style>
  <w:style w:type="character" w:customStyle="1" w:styleId="ac">
    <w:name w:val="Название Знак"/>
    <w:basedOn w:val="a0"/>
    <w:link w:val="ad"/>
    <w:locked/>
    <w:rsid w:val="00E74F8F"/>
    <w:rPr>
      <w:rFonts w:ascii="Liberation Sans" w:eastAsia="Arial Unicode MS" w:hAnsi="Liberation Sans" w:cs="Mangal"/>
      <w:sz w:val="28"/>
      <w:szCs w:val="28"/>
      <w:lang w:eastAsia="zh-CN"/>
    </w:rPr>
  </w:style>
  <w:style w:type="character" w:customStyle="1" w:styleId="ae">
    <w:name w:val="Основной текст с отступом Знак"/>
    <w:basedOn w:val="a0"/>
    <w:link w:val="af"/>
    <w:semiHidden/>
    <w:locked/>
    <w:rsid w:val="00E74F8F"/>
    <w:rPr>
      <w:sz w:val="24"/>
      <w:szCs w:val="24"/>
      <w:lang w:val="x-none" w:eastAsia="zh-CN"/>
    </w:rPr>
  </w:style>
  <w:style w:type="character" w:customStyle="1" w:styleId="af0">
    <w:name w:val="Текст выноски Знак"/>
    <w:basedOn w:val="a0"/>
    <w:link w:val="af1"/>
    <w:uiPriority w:val="99"/>
    <w:semiHidden/>
    <w:locked/>
    <w:rsid w:val="00E74F8F"/>
    <w:rPr>
      <w:rFonts w:ascii="Tahoma" w:hAnsi="Tahoma" w:cs="Tahoma"/>
      <w:sz w:val="16"/>
      <w:szCs w:val="16"/>
      <w:lang w:val="x-none" w:eastAsia="zh-CN"/>
    </w:rPr>
  </w:style>
  <w:style w:type="paragraph" w:customStyle="1" w:styleId="11">
    <w:name w:val="Указатель1"/>
    <w:basedOn w:val="a"/>
    <w:uiPriority w:val="99"/>
    <w:rsid w:val="00E74F8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Normal">
    <w:name w:val="ConsPlusNormal"/>
    <w:uiPriority w:val="99"/>
    <w:rsid w:val="00E74F8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Cell">
    <w:name w:val="ConsPlusCell"/>
    <w:uiPriority w:val="99"/>
    <w:rsid w:val="00E74F8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2">
    <w:name w:val="Название1"/>
    <w:basedOn w:val="a"/>
    <w:uiPriority w:val="99"/>
    <w:rsid w:val="00E74F8F"/>
    <w:pPr>
      <w:suppressAutoHyphens/>
      <w:spacing w:after="0" w:line="288" w:lineRule="atLeast"/>
    </w:pPr>
    <w:rPr>
      <w:rFonts w:ascii="Times New Roman" w:eastAsia="Times New Roman" w:hAnsi="Times New Roman" w:cs="Times New Roman"/>
      <w:b/>
      <w:bCs/>
      <w:sz w:val="24"/>
      <w:szCs w:val="24"/>
      <w:lang w:eastAsia="zh-CN"/>
    </w:rPr>
  </w:style>
  <w:style w:type="paragraph" w:customStyle="1" w:styleId="ConsNonformat">
    <w:name w:val="ConsNonformat"/>
    <w:uiPriority w:val="99"/>
    <w:rsid w:val="00E74F8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2">
    <w:name w:val="_Абзац"/>
    <w:basedOn w:val="a"/>
    <w:uiPriority w:val="99"/>
    <w:rsid w:val="00E74F8F"/>
    <w:pPr>
      <w:suppressAutoHyphens/>
      <w:autoSpaceDE w:val="0"/>
      <w:spacing w:after="0" w:line="240" w:lineRule="auto"/>
      <w:ind w:firstLine="709"/>
      <w:jc w:val="both"/>
    </w:pPr>
    <w:rPr>
      <w:rFonts w:ascii="Arial" w:eastAsia="Times New Roman" w:hAnsi="Arial" w:cs="Arial"/>
      <w:sz w:val="24"/>
      <w:szCs w:val="24"/>
      <w:lang w:eastAsia="zh-CN"/>
    </w:rPr>
  </w:style>
  <w:style w:type="paragraph" w:customStyle="1" w:styleId="af3">
    <w:name w:val="СтильКПП"/>
    <w:basedOn w:val="a"/>
    <w:uiPriority w:val="99"/>
    <w:rsid w:val="00E74F8F"/>
    <w:pPr>
      <w:suppressAutoHyphens/>
      <w:spacing w:after="0" w:line="360" w:lineRule="auto"/>
      <w:ind w:firstLine="709"/>
      <w:jc w:val="both"/>
    </w:pPr>
    <w:rPr>
      <w:rFonts w:ascii="Times New Roman" w:eastAsia="Times New Roman" w:hAnsi="Times New Roman" w:cs="Times New Roman"/>
      <w:color w:val="000000"/>
      <w:sz w:val="28"/>
      <w:szCs w:val="28"/>
      <w:lang w:eastAsia="zh-CN"/>
    </w:rPr>
  </w:style>
  <w:style w:type="paragraph" w:customStyle="1" w:styleId="2">
    <w:name w:val="Название2"/>
    <w:basedOn w:val="a"/>
    <w:uiPriority w:val="99"/>
    <w:rsid w:val="00E74F8F"/>
    <w:pPr>
      <w:suppressAutoHyphens/>
      <w:spacing w:after="0" w:line="288" w:lineRule="atLeast"/>
    </w:pPr>
    <w:rPr>
      <w:rFonts w:ascii="Times New Roman" w:eastAsia="Times New Roman" w:hAnsi="Times New Roman" w:cs="Times New Roman"/>
      <w:b/>
      <w:bCs/>
      <w:sz w:val="24"/>
      <w:szCs w:val="24"/>
      <w:lang w:eastAsia="zh-CN"/>
    </w:rPr>
  </w:style>
  <w:style w:type="paragraph" w:customStyle="1" w:styleId="af4">
    <w:name w:val="Содержимое таблицы"/>
    <w:basedOn w:val="a"/>
    <w:uiPriority w:val="99"/>
    <w:rsid w:val="00E74F8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5">
    <w:name w:val="Заголовок таблицы"/>
    <w:basedOn w:val="af4"/>
    <w:uiPriority w:val="99"/>
    <w:rsid w:val="00E74F8F"/>
    <w:pPr>
      <w:jc w:val="center"/>
    </w:pPr>
    <w:rPr>
      <w:b/>
      <w:bCs/>
    </w:rPr>
  </w:style>
  <w:style w:type="paragraph" w:customStyle="1" w:styleId="af6">
    <w:name w:val="Содержимое врезки"/>
    <w:basedOn w:val="a"/>
    <w:uiPriority w:val="99"/>
    <w:rsid w:val="00E74F8F"/>
    <w:pPr>
      <w:suppressAutoHyphens/>
      <w:spacing w:after="0" w:line="240" w:lineRule="auto"/>
    </w:pPr>
    <w:rPr>
      <w:rFonts w:ascii="Times New Roman" w:eastAsia="Times New Roman" w:hAnsi="Times New Roman" w:cs="Times New Roman"/>
      <w:sz w:val="24"/>
      <w:szCs w:val="24"/>
      <w:lang w:eastAsia="zh-CN"/>
    </w:rPr>
  </w:style>
  <w:style w:type="paragraph" w:customStyle="1" w:styleId="13">
    <w:name w:val="Знак Знак1 Знак"/>
    <w:basedOn w:val="a"/>
    <w:uiPriority w:val="99"/>
    <w:rsid w:val="00E74F8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WW8Num1z0">
    <w:name w:val="WW8Num1z0"/>
    <w:rsid w:val="00E74F8F"/>
    <w:rPr>
      <w:rFonts w:ascii="Times New Roman" w:eastAsia="Times New Roman" w:hAnsi="Times New Roman" w:cs="Times New Roman" w:hint="default"/>
    </w:rPr>
  </w:style>
  <w:style w:type="character" w:customStyle="1" w:styleId="WW8Num1z1">
    <w:name w:val="WW8Num1z1"/>
    <w:rsid w:val="00E74F8F"/>
  </w:style>
  <w:style w:type="character" w:customStyle="1" w:styleId="WW8Num1z2">
    <w:name w:val="WW8Num1z2"/>
    <w:rsid w:val="00E74F8F"/>
  </w:style>
  <w:style w:type="character" w:customStyle="1" w:styleId="WW8Num1z3">
    <w:name w:val="WW8Num1z3"/>
    <w:rsid w:val="00E74F8F"/>
  </w:style>
  <w:style w:type="character" w:customStyle="1" w:styleId="WW8Num1z4">
    <w:name w:val="WW8Num1z4"/>
    <w:rsid w:val="00E74F8F"/>
  </w:style>
  <w:style w:type="character" w:customStyle="1" w:styleId="WW8Num1z5">
    <w:name w:val="WW8Num1z5"/>
    <w:rsid w:val="00E74F8F"/>
  </w:style>
  <w:style w:type="character" w:customStyle="1" w:styleId="WW8Num1z6">
    <w:name w:val="WW8Num1z6"/>
    <w:rsid w:val="00E74F8F"/>
  </w:style>
  <w:style w:type="character" w:customStyle="1" w:styleId="WW8Num1z7">
    <w:name w:val="WW8Num1z7"/>
    <w:rsid w:val="00E74F8F"/>
  </w:style>
  <w:style w:type="character" w:customStyle="1" w:styleId="WW8Num1z8">
    <w:name w:val="WW8Num1z8"/>
    <w:rsid w:val="00E74F8F"/>
  </w:style>
  <w:style w:type="character" w:customStyle="1" w:styleId="WW8Num2z0">
    <w:name w:val="WW8Num2z0"/>
    <w:rsid w:val="00E74F8F"/>
    <w:rPr>
      <w:rFonts w:ascii="Symbol" w:hAnsi="Symbol" w:cs="Symbol" w:hint="default"/>
      <w:sz w:val="20"/>
    </w:rPr>
  </w:style>
  <w:style w:type="character" w:customStyle="1" w:styleId="WW8Num2z1">
    <w:name w:val="WW8Num2z1"/>
    <w:rsid w:val="00E74F8F"/>
    <w:rPr>
      <w:rFonts w:ascii="Courier New" w:hAnsi="Courier New" w:cs="Courier New" w:hint="default"/>
      <w:sz w:val="20"/>
    </w:rPr>
  </w:style>
  <w:style w:type="character" w:customStyle="1" w:styleId="WW8Num2z2">
    <w:name w:val="WW8Num2z2"/>
    <w:rsid w:val="00E74F8F"/>
    <w:rPr>
      <w:rFonts w:ascii="Wingdings" w:hAnsi="Wingdings" w:cs="Wingdings" w:hint="default"/>
      <w:sz w:val="20"/>
    </w:rPr>
  </w:style>
  <w:style w:type="character" w:customStyle="1" w:styleId="WW8Num3z0">
    <w:name w:val="WW8Num3z0"/>
    <w:rsid w:val="00E74F8F"/>
    <w:rPr>
      <w:rFonts w:ascii="Times New Roman" w:eastAsia="Times New Roman" w:hAnsi="Times New Roman" w:cs="Times New Roman" w:hint="default"/>
    </w:rPr>
  </w:style>
  <w:style w:type="character" w:customStyle="1" w:styleId="WW8Num3z1">
    <w:name w:val="WW8Num3z1"/>
    <w:rsid w:val="00E74F8F"/>
  </w:style>
  <w:style w:type="character" w:customStyle="1" w:styleId="WW8Num3z2">
    <w:name w:val="WW8Num3z2"/>
    <w:rsid w:val="00E74F8F"/>
  </w:style>
  <w:style w:type="character" w:customStyle="1" w:styleId="WW8Num3z3">
    <w:name w:val="WW8Num3z3"/>
    <w:rsid w:val="00E74F8F"/>
  </w:style>
  <w:style w:type="character" w:customStyle="1" w:styleId="WW8Num3z4">
    <w:name w:val="WW8Num3z4"/>
    <w:rsid w:val="00E74F8F"/>
  </w:style>
  <w:style w:type="character" w:customStyle="1" w:styleId="WW8Num3z5">
    <w:name w:val="WW8Num3z5"/>
    <w:rsid w:val="00E74F8F"/>
  </w:style>
  <w:style w:type="character" w:customStyle="1" w:styleId="WW8Num3z6">
    <w:name w:val="WW8Num3z6"/>
    <w:rsid w:val="00E74F8F"/>
  </w:style>
  <w:style w:type="character" w:customStyle="1" w:styleId="WW8Num3z7">
    <w:name w:val="WW8Num3z7"/>
    <w:rsid w:val="00E74F8F"/>
  </w:style>
  <w:style w:type="character" w:customStyle="1" w:styleId="WW8Num3z8">
    <w:name w:val="WW8Num3z8"/>
    <w:rsid w:val="00E74F8F"/>
  </w:style>
  <w:style w:type="character" w:customStyle="1" w:styleId="14">
    <w:name w:val="Основной шрифт абзаца1"/>
    <w:rsid w:val="00E74F8F"/>
  </w:style>
  <w:style w:type="character" w:customStyle="1" w:styleId="ConsPlusNormal0">
    <w:name w:val="ConsPlusNormal Знак"/>
    <w:rsid w:val="00E74F8F"/>
    <w:rPr>
      <w:rFonts w:ascii="Arial" w:hAnsi="Arial" w:cs="Arial" w:hint="default"/>
      <w:lang w:val="ru-RU" w:bidi="ar-SA"/>
    </w:rPr>
  </w:style>
  <w:style w:type="character" w:customStyle="1" w:styleId="af7">
    <w:name w:val="Знак Знак"/>
    <w:rsid w:val="00E74F8F"/>
    <w:rPr>
      <w:sz w:val="24"/>
      <w:szCs w:val="24"/>
      <w:lang w:val="ru-RU" w:bidi="ar-SA"/>
    </w:rPr>
  </w:style>
  <w:style w:type="paragraph" w:styleId="ad">
    <w:name w:val="Title"/>
    <w:basedOn w:val="a"/>
    <w:next w:val="a"/>
    <w:link w:val="ac"/>
    <w:qFormat/>
    <w:rsid w:val="00E74F8F"/>
    <w:pPr>
      <w:pBdr>
        <w:bottom w:val="single" w:sz="8" w:space="4" w:color="4F81BD" w:themeColor="accent1"/>
      </w:pBdr>
      <w:suppressAutoHyphens/>
      <w:spacing w:after="300" w:line="240" w:lineRule="auto"/>
      <w:contextualSpacing/>
    </w:pPr>
    <w:rPr>
      <w:rFonts w:ascii="Liberation Sans" w:eastAsia="Arial Unicode MS" w:hAnsi="Liberation Sans" w:cs="Mangal"/>
      <w:sz w:val="28"/>
      <w:szCs w:val="28"/>
      <w:lang w:eastAsia="zh-CN"/>
    </w:rPr>
  </w:style>
  <w:style w:type="character" w:customStyle="1" w:styleId="15">
    <w:name w:val="Название Знак1"/>
    <w:basedOn w:val="a0"/>
    <w:rsid w:val="00E74F8F"/>
    <w:rPr>
      <w:rFonts w:asciiTheme="majorHAnsi" w:eastAsiaTheme="majorEastAsia" w:hAnsiTheme="majorHAnsi" w:cstheme="majorBidi"/>
      <w:color w:val="17365D" w:themeColor="text2" w:themeShade="BF"/>
      <w:spacing w:val="5"/>
      <w:kern w:val="28"/>
      <w:sz w:val="52"/>
      <w:szCs w:val="52"/>
    </w:rPr>
  </w:style>
  <w:style w:type="paragraph" w:styleId="af">
    <w:name w:val="Body Text Indent"/>
    <w:basedOn w:val="a"/>
    <w:link w:val="ae"/>
    <w:semiHidden/>
    <w:unhideWhenUsed/>
    <w:rsid w:val="00E74F8F"/>
    <w:pPr>
      <w:suppressAutoHyphens/>
      <w:spacing w:after="120" w:line="240" w:lineRule="auto"/>
      <w:ind w:left="283"/>
    </w:pPr>
    <w:rPr>
      <w:sz w:val="24"/>
      <w:szCs w:val="24"/>
      <w:lang w:val="x-none" w:eastAsia="zh-CN"/>
    </w:rPr>
  </w:style>
  <w:style w:type="character" w:customStyle="1" w:styleId="16">
    <w:name w:val="Основной текст с отступом Знак1"/>
    <w:basedOn w:val="a0"/>
    <w:semiHidden/>
    <w:rsid w:val="00E74F8F"/>
  </w:style>
  <w:style w:type="paragraph" w:styleId="a9">
    <w:name w:val="footer"/>
    <w:basedOn w:val="a"/>
    <w:link w:val="a8"/>
    <w:semiHidden/>
    <w:unhideWhenUsed/>
    <w:rsid w:val="00E74F8F"/>
    <w:pPr>
      <w:tabs>
        <w:tab w:val="center" w:pos="4677"/>
        <w:tab w:val="right" w:pos="9355"/>
      </w:tabs>
      <w:suppressAutoHyphens/>
      <w:spacing w:after="0" w:line="240" w:lineRule="auto"/>
    </w:pPr>
    <w:rPr>
      <w:sz w:val="24"/>
      <w:szCs w:val="24"/>
      <w:lang w:eastAsia="zh-CN"/>
    </w:rPr>
  </w:style>
  <w:style w:type="character" w:customStyle="1" w:styleId="17">
    <w:name w:val="Нижний колонтитул Знак1"/>
    <w:basedOn w:val="a0"/>
    <w:semiHidden/>
    <w:rsid w:val="00E74F8F"/>
  </w:style>
  <w:style w:type="paragraph" w:styleId="af1">
    <w:name w:val="Balloon Text"/>
    <w:basedOn w:val="a"/>
    <w:link w:val="af0"/>
    <w:uiPriority w:val="99"/>
    <w:semiHidden/>
    <w:unhideWhenUsed/>
    <w:rsid w:val="00E74F8F"/>
    <w:pPr>
      <w:suppressAutoHyphens/>
      <w:spacing w:after="0" w:line="240" w:lineRule="auto"/>
    </w:pPr>
    <w:rPr>
      <w:rFonts w:ascii="Tahoma" w:hAnsi="Tahoma" w:cs="Tahoma"/>
      <w:sz w:val="16"/>
      <w:szCs w:val="16"/>
      <w:lang w:val="x-none" w:eastAsia="zh-CN"/>
    </w:rPr>
  </w:style>
  <w:style w:type="character" w:customStyle="1" w:styleId="18">
    <w:name w:val="Текст выноски Знак1"/>
    <w:basedOn w:val="a0"/>
    <w:uiPriority w:val="99"/>
    <w:semiHidden/>
    <w:rsid w:val="00E74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_2\Documents\&#1043;&#1086;&#1089;&#1076;&#1086;&#1082;&#1083;&#1072;&#1076;\2020\&#1056;&#1072;&#1089;&#1095;&#1077;&#109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_2\Documents\&#1043;&#1086;&#1089;&#1076;&#1086;&#1082;&#1083;&#1072;&#1076;\2020\&#1056;&#1072;&#1089;&#1095;&#1077;&#109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'Гинек. забол-ть подростков'!$A$4</c:f>
              <c:strCache>
                <c:ptCount val="1"/>
                <c:pt idx="0">
                  <c:v>Сальпингит и оофорит</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1"/>
              <c:layout>
                <c:manualLayout>
                  <c:x val="2.8162866123536943E-2"/>
                  <c:y val="-2.017390203036487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82C-4372-B395-4B9D84D516AE}"/>
                </c:ext>
              </c:extLst>
            </c:dLbl>
            <c:dLbl>
              <c:idx val="3"/>
              <c:layout>
                <c:manualLayout>
                  <c:x val="-5.7336845026087511E-2"/>
                  <c:y val="-2.319733290545052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82C-4372-B395-4B9D84D516AE}"/>
                </c:ext>
              </c:extLst>
            </c:dLbl>
            <c:dLbl>
              <c:idx val="5"/>
              <c:layout>
                <c:manualLayout>
                  <c:x val="1.1987245095229478E-2"/>
                  <c:y val="-2.622076378053605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82C-4372-B395-4B9D84D516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'Гинек. забол-ть подростков'!$C$2:$H$3</c:f>
              <c:multiLvlStrCache>
                <c:ptCount val="6"/>
                <c:lvl>
                  <c:pt idx="0">
                    <c:v>абс.</c:v>
                  </c:pt>
                  <c:pt idx="1">
                    <c:v>показ.</c:v>
                  </c:pt>
                  <c:pt idx="2">
                    <c:v>абс.</c:v>
                  </c:pt>
                  <c:pt idx="3">
                    <c:v>показ.</c:v>
                  </c:pt>
                  <c:pt idx="4">
                    <c:v>абс.</c:v>
                  </c:pt>
                  <c:pt idx="5">
                    <c:v>показ.</c:v>
                  </c:pt>
                </c:lvl>
                <c:lvl>
                  <c:pt idx="0">
                    <c:v>2018</c:v>
                  </c:pt>
                  <c:pt idx="2">
                    <c:v>2019</c:v>
                  </c:pt>
                  <c:pt idx="4">
                    <c:v>2020</c:v>
                  </c:pt>
                </c:lvl>
              </c:multiLvlStrCache>
            </c:multiLvlStrRef>
          </c:cat>
          <c:val>
            <c:numRef>
              <c:f>'Гинек. забол-ть подростков'!$C$4:$H$4</c:f>
              <c:numCache>
                <c:formatCode>0.0</c:formatCode>
                <c:ptCount val="6"/>
                <c:pt idx="0" formatCode="0">
                  <c:v>98</c:v>
                </c:pt>
                <c:pt idx="1">
                  <c:v>6.5</c:v>
                </c:pt>
                <c:pt idx="2" formatCode="0">
                  <c:v>103</c:v>
                </c:pt>
                <c:pt idx="3">
                  <c:v>6.7</c:v>
                </c:pt>
                <c:pt idx="4" formatCode="0">
                  <c:v>76</c:v>
                </c:pt>
                <c:pt idx="5">
                  <c:v>4.8</c:v>
                </c:pt>
              </c:numCache>
            </c:numRef>
          </c:val>
          <c:smooth val="0"/>
          <c:extLst xmlns:c16r2="http://schemas.microsoft.com/office/drawing/2015/06/chart">
            <c:ext xmlns:c16="http://schemas.microsoft.com/office/drawing/2014/chart" uri="{C3380CC4-5D6E-409C-BE32-E72D297353CC}">
              <c16:uniqueId val="{00000003-482C-4372-B395-4B9D84D516AE}"/>
            </c:ext>
          </c:extLst>
        </c:ser>
        <c:ser>
          <c:idx val="1"/>
          <c:order val="1"/>
          <c:tx>
            <c:strRef>
              <c:f>'Гинек. забол-ть подростков'!$A$5</c:f>
              <c:strCache>
                <c:ptCount val="1"/>
                <c:pt idx="0">
                  <c:v>Расстройства менструаций</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Lbl>
              <c:idx val="1"/>
              <c:layout>
                <c:manualLayout>
                  <c:x val="-1.8342044332846651E-2"/>
                  <c:y val="-0.11692369003310538"/>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82C-4372-B395-4B9D84D516AE}"/>
                </c:ext>
              </c:extLst>
            </c:dLbl>
            <c:dLbl>
              <c:idx val="3"/>
              <c:layout>
                <c:manualLayout>
                  <c:x val="-2.0652847336890514E-2"/>
                  <c:y val="-0.11692369003310538"/>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82C-4372-B395-4B9D84D516AE}"/>
                </c:ext>
              </c:extLst>
            </c:dLbl>
            <c:dLbl>
              <c:idx val="5"/>
              <c:layout>
                <c:manualLayout>
                  <c:x val="-1.4875839826780837E-2"/>
                  <c:y val="-8.668938128224905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82C-4372-B395-4B9D84D516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'Гинек. забол-ть подростков'!$C$2:$H$3</c:f>
              <c:multiLvlStrCache>
                <c:ptCount val="6"/>
                <c:lvl>
                  <c:pt idx="0">
                    <c:v>абс.</c:v>
                  </c:pt>
                  <c:pt idx="1">
                    <c:v>показ.</c:v>
                  </c:pt>
                  <c:pt idx="2">
                    <c:v>абс.</c:v>
                  </c:pt>
                  <c:pt idx="3">
                    <c:v>показ.</c:v>
                  </c:pt>
                  <c:pt idx="4">
                    <c:v>абс.</c:v>
                  </c:pt>
                  <c:pt idx="5">
                    <c:v>показ.</c:v>
                  </c:pt>
                </c:lvl>
                <c:lvl>
                  <c:pt idx="0">
                    <c:v>2018</c:v>
                  </c:pt>
                  <c:pt idx="2">
                    <c:v>2019</c:v>
                  </c:pt>
                  <c:pt idx="4">
                    <c:v>2020</c:v>
                  </c:pt>
                </c:lvl>
              </c:multiLvlStrCache>
            </c:multiLvlStrRef>
          </c:cat>
          <c:val>
            <c:numRef>
              <c:f>'Гинек. забол-ть подростков'!$C$5:$H$5</c:f>
              <c:numCache>
                <c:formatCode>0.0</c:formatCode>
                <c:ptCount val="6"/>
                <c:pt idx="0" formatCode="0">
                  <c:v>192</c:v>
                </c:pt>
                <c:pt idx="1">
                  <c:v>12.8</c:v>
                </c:pt>
                <c:pt idx="2" formatCode="0">
                  <c:v>218</c:v>
                </c:pt>
                <c:pt idx="3">
                  <c:v>14.2</c:v>
                </c:pt>
                <c:pt idx="4" formatCode="0">
                  <c:v>182</c:v>
                </c:pt>
                <c:pt idx="5">
                  <c:v>11.5</c:v>
                </c:pt>
              </c:numCache>
            </c:numRef>
          </c:val>
          <c:smooth val="0"/>
          <c:extLst xmlns:c16r2="http://schemas.microsoft.com/office/drawing/2015/06/chart">
            <c:ext xmlns:c16="http://schemas.microsoft.com/office/drawing/2014/chart" uri="{C3380CC4-5D6E-409C-BE32-E72D297353CC}">
              <c16:uniqueId val="{00000007-482C-4372-B395-4B9D84D516AE}"/>
            </c:ext>
          </c:extLst>
        </c:ser>
        <c:dLbls>
          <c:dLblPos val="t"/>
          <c:showLegendKey val="0"/>
          <c:showVal val="1"/>
          <c:showCatName val="0"/>
          <c:showSerName val="0"/>
          <c:showPercent val="0"/>
          <c:showBubbleSize val="0"/>
        </c:dLbls>
        <c:marker val="1"/>
        <c:smooth val="0"/>
        <c:axId val="81822464"/>
        <c:axId val="81824000"/>
      </c:lineChart>
      <c:catAx>
        <c:axId val="81822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none"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824000"/>
        <c:crosses val="autoZero"/>
        <c:auto val="1"/>
        <c:lblAlgn val="ctr"/>
        <c:lblOffset val="100"/>
        <c:noMultiLvlLbl val="0"/>
      </c:catAx>
      <c:valAx>
        <c:axId val="81824000"/>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8224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818526955201213E-2"/>
          <c:y val="2.9520295202952029E-2"/>
          <c:w val="0.93318147304479881"/>
          <c:h val="0.82382930915923336"/>
        </c:manualLayout>
      </c:layout>
      <c:barChart>
        <c:barDir val="col"/>
        <c:grouping val="clustered"/>
        <c:varyColors val="0"/>
        <c:ser>
          <c:idx val="0"/>
          <c:order val="0"/>
          <c:invertIfNegative val="0"/>
          <c:dLbls>
            <c:dLbl>
              <c:idx val="0"/>
              <c:layout>
                <c:manualLayout>
                  <c:x val="0"/>
                  <c:y val="0.18055555555555547"/>
                </c:manualLayout>
              </c:layout>
              <c:spPr/>
              <c:txPr>
                <a:bodyPr/>
                <a:lstStyle/>
                <a:p>
                  <a:pPr>
                    <a:defRPr sz="998">
                      <a:latin typeface="Times New Roman" pitchFamily="18" charset="0"/>
                      <a:cs typeface="Times New Roman" pitchFamily="18" charset="0"/>
                    </a:defRPr>
                  </a:pPr>
                  <a:endParaRPr lang="ru-RU"/>
                </a:p>
              </c:txPr>
              <c:dLblPos val="outEnd"/>
              <c:showLegendKey val="0"/>
              <c:showVal val="1"/>
              <c:showCatName val="0"/>
              <c:showSerName val="0"/>
              <c:showPercent val="0"/>
              <c:showBubbleSize val="0"/>
            </c:dLbl>
            <c:dLbl>
              <c:idx val="1"/>
              <c:layout>
                <c:manualLayout>
                  <c:x val="0"/>
                  <c:y val="0.18518518518518517"/>
                </c:manualLayout>
              </c:layout>
              <c:spPr/>
              <c:txPr>
                <a:bodyPr/>
                <a:lstStyle/>
                <a:p>
                  <a:pPr>
                    <a:defRPr sz="998">
                      <a:latin typeface="Times New Roman" pitchFamily="18" charset="0"/>
                      <a:cs typeface="Times New Roman" pitchFamily="18" charset="0"/>
                    </a:defRPr>
                  </a:pPr>
                  <a:endParaRPr lang="ru-RU"/>
                </a:p>
              </c:txPr>
              <c:dLblPos val="outEnd"/>
              <c:showLegendKey val="0"/>
              <c:showVal val="1"/>
              <c:showCatName val="0"/>
              <c:showSerName val="0"/>
              <c:showPercent val="0"/>
              <c:showBubbleSize val="0"/>
            </c:dLbl>
            <c:dLbl>
              <c:idx val="2"/>
              <c:layout>
                <c:manualLayout>
                  <c:x val="-2.7777777777777779E-3"/>
                  <c:y val="0.34259259259259262"/>
                </c:manualLayout>
              </c:layout>
              <c:spPr/>
              <c:txPr>
                <a:bodyPr/>
                <a:lstStyle/>
                <a:p>
                  <a:pPr>
                    <a:defRPr sz="998">
                      <a:latin typeface="Times New Roman" pitchFamily="18" charset="0"/>
                      <a:cs typeface="Times New Roman" pitchFamily="18" charset="0"/>
                    </a:defRPr>
                  </a:pPr>
                  <a:endParaRPr lang="ru-RU"/>
                </a:p>
              </c:txPr>
              <c:dLblPos val="outEnd"/>
              <c:showLegendKey val="0"/>
              <c:showVal val="1"/>
              <c:showCatName val="0"/>
              <c:showSerName val="0"/>
              <c:showPercent val="0"/>
              <c:showBubbleSize val="0"/>
            </c:dLbl>
            <c:spPr>
              <a:noFill/>
              <a:ln w="24152">
                <a:noFill/>
              </a:ln>
            </c:spPr>
            <c:txPr>
              <a:bodyPr/>
              <a:lstStyle/>
              <a:p>
                <a:pPr>
                  <a:defRPr sz="998">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Лист1!$I$3:$K$3</c:f>
              <c:strCache>
                <c:ptCount val="3"/>
                <c:pt idx="0">
                  <c:v>2018 г.</c:v>
                </c:pt>
                <c:pt idx="1">
                  <c:v>2019 г.</c:v>
                </c:pt>
                <c:pt idx="2">
                  <c:v>2020 г.</c:v>
                </c:pt>
              </c:strCache>
            </c:strRef>
          </c:cat>
          <c:val>
            <c:numRef>
              <c:f>Лист1!$I$4:$K$4</c:f>
              <c:numCache>
                <c:formatCode>General</c:formatCode>
                <c:ptCount val="3"/>
                <c:pt idx="0">
                  <c:v>198.7</c:v>
                </c:pt>
                <c:pt idx="1">
                  <c:v>202.3</c:v>
                </c:pt>
                <c:pt idx="2">
                  <c:v>203.7</c:v>
                </c:pt>
              </c:numCache>
            </c:numRef>
          </c:val>
        </c:ser>
        <c:dLbls>
          <c:showLegendKey val="0"/>
          <c:showVal val="0"/>
          <c:showCatName val="0"/>
          <c:showSerName val="0"/>
          <c:showPercent val="0"/>
          <c:showBubbleSize val="0"/>
        </c:dLbls>
        <c:gapWidth val="150"/>
        <c:axId val="167516416"/>
        <c:axId val="167518208"/>
      </c:barChart>
      <c:catAx>
        <c:axId val="167516416"/>
        <c:scaling>
          <c:orientation val="minMax"/>
        </c:scaling>
        <c:delete val="0"/>
        <c:axPos val="b"/>
        <c:numFmt formatCode="General" sourceLinked="1"/>
        <c:majorTickMark val="out"/>
        <c:minorTickMark val="none"/>
        <c:tickLblPos val="nextTo"/>
        <c:txPr>
          <a:bodyPr/>
          <a:lstStyle/>
          <a:p>
            <a:pPr>
              <a:defRPr sz="998">
                <a:latin typeface="Times New Roman" pitchFamily="18" charset="0"/>
                <a:cs typeface="Times New Roman" pitchFamily="18" charset="0"/>
              </a:defRPr>
            </a:pPr>
            <a:endParaRPr lang="ru-RU"/>
          </a:p>
        </c:txPr>
        <c:crossAx val="167518208"/>
        <c:crosses val="autoZero"/>
        <c:auto val="1"/>
        <c:lblAlgn val="ctr"/>
        <c:lblOffset val="100"/>
        <c:noMultiLvlLbl val="0"/>
      </c:catAx>
      <c:valAx>
        <c:axId val="167518208"/>
        <c:scaling>
          <c:orientation val="minMax"/>
        </c:scaling>
        <c:delete val="1"/>
        <c:axPos val="l"/>
        <c:numFmt formatCode="General" sourceLinked="1"/>
        <c:majorTickMark val="out"/>
        <c:minorTickMark val="none"/>
        <c:tickLblPos val="nextTo"/>
        <c:crossAx val="167516416"/>
        <c:crosses val="autoZero"/>
        <c:crossBetween val="between"/>
      </c:valAx>
      <c:spPr>
        <a:noFill/>
        <a:ln w="24152">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dLbl>
              <c:idx val="0"/>
              <c:layout>
                <c:manualLayout>
                  <c:x val="-2.5462668816039986E-17"/>
                  <c:y val="0.21296296296296288"/>
                </c:manualLayout>
              </c:layout>
              <c:spPr/>
              <c:txPr>
                <a:bodyPr/>
                <a:lstStyle/>
                <a:p>
                  <a:pPr>
                    <a:defRPr sz="998">
                      <a:latin typeface="Times New Roman" pitchFamily="18" charset="0"/>
                      <a:cs typeface="Times New Roman" pitchFamily="18" charset="0"/>
                    </a:defRPr>
                  </a:pPr>
                  <a:endParaRPr lang="ru-RU"/>
                </a:p>
              </c:txPr>
              <c:dLblPos val="outEnd"/>
              <c:showLegendKey val="0"/>
              <c:showVal val="1"/>
              <c:showCatName val="0"/>
              <c:showSerName val="0"/>
              <c:showPercent val="0"/>
              <c:showBubbleSize val="0"/>
            </c:dLbl>
            <c:dLbl>
              <c:idx val="1"/>
              <c:layout>
                <c:manualLayout>
                  <c:x val="-5.0925337632079971E-17"/>
                  <c:y val="0.33796296296296297"/>
                </c:manualLayout>
              </c:layout>
              <c:spPr/>
              <c:txPr>
                <a:bodyPr/>
                <a:lstStyle/>
                <a:p>
                  <a:pPr>
                    <a:defRPr sz="998">
                      <a:latin typeface="Times New Roman" pitchFamily="18" charset="0"/>
                      <a:cs typeface="Times New Roman" pitchFamily="18" charset="0"/>
                    </a:defRPr>
                  </a:pPr>
                  <a:endParaRPr lang="ru-RU"/>
                </a:p>
              </c:txPr>
              <c:dLblPos val="outEnd"/>
              <c:showLegendKey val="0"/>
              <c:showVal val="1"/>
              <c:showCatName val="0"/>
              <c:showSerName val="0"/>
              <c:showPercent val="0"/>
              <c:showBubbleSize val="0"/>
            </c:dLbl>
            <c:dLbl>
              <c:idx val="2"/>
              <c:layout>
                <c:manualLayout>
                  <c:x val="0"/>
                  <c:y val="0.32407407407407407"/>
                </c:manualLayout>
              </c:layout>
              <c:spPr/>
              <c:txPr>
                <a:bodyPr/>
                <a:lstStyle/>
                <a:p>
                  <a:pPr>
                    <a:defRPr sz="998">
                      <a:latin typeface="Times New Roman" pitchFamily="18" charset="0"/>
                      <a:cs typeface="Times New Roman" pitchFamily="18" charset="0"/>
                    </a:defRPr>
                  </a:pPr>
                  <a:endParaRPr lang="ru-RU"/>
                </a:p>
              </c:txPr>
              <c:dLblPos val="outEnd"/>
              <c:showLegendKey val="0"/>
              <c:showVal val="1"/>
              <c:showCatName val="0"/>
              <c:showSerName val="0"/>
              <c:showPercent val="0"/>
              <c:showBubbleSize val="0"/>
            </c:dLbl>
            <c:dLbl>
              <c:idx val="3"/>
              <c:layout>
                <c:manualLayout>
                  <c:x val="0"/>
                  <c:y val="0.28240740740740738"/>
                </c:manualLayout>
              </c:layout>
              <c:spPr/>
              <c:txPr>
                <a:bodyPr/>
                <a:lstStyle/>
                <a:p>
                  <a:pPr>
                    <a:defRPr sz="998">
                      <a:latin typeface="Times New Roman" pitchFamily="18" charset="0"/>
                      <a:cs typeface="Times New Roman" pitchFamily="18" charset="0"/>
                    </a:defRPr>
                  </a:pPr>
                  <a:endParaRPr lang="ru-RU"/>
                </a:p>
              </c:txPr>
              <c:dLblPos val="outEnd"/>
              <c:showLegendKey val="0"/>
              <c:showVal val="1"/>
              <c:showCatName val="0"/>
              <c:showSerName val="0"/>
              <c:showPercent val="0"/>
              <c:showBubbleSize val="0"/>
            </c:dLbl>
            <c:spPr>
              <a:noFill/>
              <a:ln w="24140">
                <a:noFill/>
              </a:ln>
            </c:spPr>
            <c:txPr>
              <a:bodyPr/>
              <a:lstStyle/>
              <a:p>
                <a:pPr>
                  <a:defRPr sz="998">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Лист2!$A$1:$D$1</c:f>
              <c:strCache>
                <c:ptCount val="4"/>
                <c:pt idx="0">
                  <c:v>от 0 до 4 лет</c:v>
                </c:pt>
                <c:pt idx="1">
                  <c:v>от 5 до 9 лет</c:v>
                </c:pt>
                <c:pt idx="2">
                  <c:v>от 10 до 14 лет</c:v>
                </c:pt>
                <c:pt idx="3">
                  <c:v>от 15 до 17 лет</c:v>
                </c:pt>
              </c:strCache>
            </c:strRef>
          </c:cat>
          <c:val>
            <c:numRef>
              <c:f>Лист2!$A$2:$D$2</c:f>
              <c:numCache>
                <c:formatCode>General</c:formatCode>
                <c:ptCount val="4"/>
                <c:pt idx="0">
                  <c:v>13.2</c:v>
                </c:pt>
                <c:pt idx="1">
                  <c:v>28.4</c:v>
                </c:pt>
                <c:pt idx="2">
                  <c:v>35.1</c:v>
                </c:pt>
                <c:pt idx="3">
                  <c:v>23.3</c:v>
                </c:pt>
              </c:numCache>
            </c:numRef>
          </c:val>
        </c:ser>
        <c:dLbls>
          <c:showLegendKey val="0"/>
          <c:showVal val="0"/>
          <c:showCatName val="0"/>
          <c:showSerName val="0"/>
          <c:showPercent val="0"/>
          <c:showBubbleSize val="0"/>
        </c:dLbls>
        <c:gapWidth val="150"/>
        <c:axId val="157402240"/>
        <c:axId val="157403776"/>
      </c:barChart>
      <c:catAx>
        <c:axId val="157402240"/>
        <c:scaling>
          <c:orientation val="minMax"/>
        </c:scaling>
        <c:delete val="0"/>
        <c:axPos val="b"/>
        <c:numFmt formatCode="General" sourceLinked="1"/>
        <c:majorTickMark val="out"/>
        <c:minorTickMark val="none"/>
        <c:tickLblPos val="nextTo"/>
        <c:txPr>
          <a:bodyPr/>
          <a:lstStyle/>
          <a:p>
            <a:pPr>
              <a:defRPr sz="998">
                <a:latin typeface="Times New Roman" pitchFamily="18" charset="0"/>
                <a:cs typeface="Times New Roman" pitchFamily="18" charset="0"/>
              </a:defRPr>
            </a:pPr>
            <a:endParaRPr lang="ru-RU"/>
          </a:p>
        </c:txPr>
        <c:crossAx val="157403776"/>
        <c:crosses val="autoZero"/>
        <c:auto val="1"/>
        <c:lblAlgn val="ctr"/>
        <c:lblOffset val="100"/>
        <c:noMultiLvlLbl val="0"/>
      </c:catAx>
      <c:valAx>
        <c:axId val="157403776"/>
        <c:scaling>
          <c:orientation val="minMax"/>
        </c:scaling>
        <c:delete val="1"/>
        <c:axPos val="l"/>
        <c:numFmt formatCode="General" sourceLinked="1"/>
        <c:majorTickMark val="out"/>
        <c:minorTickMark val="none"/>
        <c:tickLblPos val="nextTo"/>
        <c:crossAx val="157402240"/>
        <c:crosses val="autoZero"/>
        <c:crossBetween val="between"/>
      </c:valAx>
      <c:spPr>
        <a:noFill/>
        <a:ln w="24140">
          <a:noFill/>
        </a:ln>
      </c:spPr>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'[Диаграмма в Книга1]Лист3'!$A$1:$D$1</c:f>
              <c:strCache>
                <c:ptCount val="4"/>
                <c:pt idx="0">
                  <c:v>врожденные аномалии </c:v>
                </c:pt>
                <c:pt idx="1">
                  <c:v>психические расстройства</c:v>
                </c:pt>
                <c:pt idx="2">
                  <c:v>болезни нервной системы</c:v>
                </c:pt>
                <c:pt idx="3">
                  <c:v>болезни эндокринной системы</c:v>
                </c:pt>
              </c:strCache>
            </c:strRef>
          </c:cat>
          <c:val>
            <c:numRef>
              <c:f>'[Диаграмма в Книга1]Лист3'!$A$2:$D$2</c:f>
              <c:numCache>
                <c:formatCode>0.0%</c:formatCode>
                <c:ptCount val="4"/>
                <c:pt idx="0">
                  <c:v>0.24299999999999999</c:v>
                </c:pt>
                <c:pt idx="1">
                  <c:v>0.24299999999999999</c:v>
                </c:pt>
                <c:pt idx="2">
                  <c:v>0.17399999999999999</c:v>
                </c:pt>
                <c:pt idx="3">
                  <c:v>9.0999999999999998E-2</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'Гинек. заболеваемость'!$A$3</c:f>
              <c:strCache>
                <c:ptCount val="1"/>
                <c:pt idx="0">
                  <c:v>Сальпингит и оофорит (на 1000 женщин старше 18 лет)</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('Гинек. заболеваемость'!$D$1,'Гинек. заболеваемость'!$F$1,'Гинек. заболеваемость'!$H$1)</c:f>
              <c:numCache>
                <c:formatCode>General</c:formatCode>
                <c:ptCount val="3"/>
                <c:pt idx="0">
                  <c:v>2018</c:v>
                </c:pt>
                <c:pt idx="1">
                  <c:v>2019</c:v>
                </c:pt>
                <c:pt idx="2">
                  <c:v>2020</c:v>
                </c:pt>
              </c:numCache>
              <c:extLst xmlns:c16r2="http://schemas.microsoft.com/office/drawing/2015/06/chart"/>
            </c:numRef>
          </c:cat>
          <c:val>
            <c:numRef>
              <c:f>('Гинек. заболеваемость'!$D$3,'Гинек. заболеваемость'!$F$3,'Гинек. заболеваемость'!$H$3)</c:f>
              <c:numCache>
                <c:formatCode>0.0</c:formatCode>
                <c:ptCount val="3"/>
                <c:pt idx="0">
                  <c:v>7.7</c:v>
                </c:pt>
                <c:pt idx="1">
                  <c:v>7</c:v>
                </c:pt>
                <c:pt idx="2">
                  <c:v>5.8</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2BA5-46C2-8C43-68D9F07710EB}"/>
            </c:ext>
          </c:extLst>
        </c:ser>
        <c:ser>
          <c:idx val="1"/>
          <c:order val="1"/>
          <c:tx>
            <c:strRef>
              <c:f>'Гинек. заболеваемость'!$A$4</c:f>
              <c:strCache>
                <c:ptCount val="1"/>
                <c:pt idx="0">
                  <c:v>Эндометриоз (на 1000 женщин старше 18 лет)</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('Гинек. заболеваемость'!$D$1,'Гинек. заболеваемость'!$F$1,'Гинек. заболеваемость'!$H$1)</c:f>
              <c:numCache>
                <c:formatCode>General</c:formatCode>
                <c:ptCount val="3"/>
                <c:pt idx="0">
                  <c:v>2018</c:v>
                </c:pt>
                <c:pt idx="1">
                  <c:v>2019</c:v>
                </c:pt>
                <c:pt idx="2">
                  <c:v>2020</c:v>
                </c:pt>
              </c:numCache>
              <c:extLst xmlns:c16r2="http://schemas.microsoft.com/office/drawing/2015/06/chart"/>
            </c:numRef>
          </c:cat>
          <c:val>
            <c:numRef>
              <c:f>('Гинек. заболеваемость'!$D$4,'Гинек. заболеваемость'!$F$4,'Гинек. заболеваемость'!$H$4)</c:f>
              <c:numCache>
                <c:formatCode>0.0</c:formatCode>
                <c:ptCount val="3"/>
                <c:pt idx="0">
                  <c:v>6.4</c:v>
                </c:pt>
                <c:pt idx="1">
                  <c:v>6.1</c:v>
                </c:pt>
                <c:pt idx="2">
                  <c:v>5.5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2BA5-46C2-8C43-68D9F07710EB}"/>
            </c:ext>
          </c:extLst>
        </c:ser>
        <c:ser>
          <c:idx val="2"/>
          <c:order val="2"/>
          <c:tx>
            <c:strRef>
              <c:f>'Гинек. заболеваемость'!$A$5</c:f>
              <c:strCache>
                <c:ptCount val="1"/>
                <c:pt idx="0">
                  <c:v>Эрозия и эктропион шейки матки (на 1000 женщин старше 18 лет)</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('Гинек. заболеваемость'!$D$1,'Гинек. заболеваемость'!$F$1,'Гинек. заболеваемость'!$H$1)</c:f>
              <c:numCache>
                <c:formatCode>General</c:formatCode>
                <c:ptCount val="3"/>
                <c:pt idx="0">
                  <c:v>2018</c:v>
                </c:pt>
                <c:pt idx="1">
                  <c:v>2019</c:v>
                </c:pt>
                <c:pt idx="2">
                  <c:v>2020</c:v>
                </c:pt>
              </c:numCache>
              <c:extLst xmlns:c16r2="http://schemas.microsoft.com/office/drawing/2015/06/chart"/>
            </c:numRef>
          </c:cat>
          <c:val>
            <c:numRef>
              <c:f>('Гинек. заболеваемость'!$D$5,'Гинек. заболеваемость'!$F$5,'Гинек. заболеваемость'!$H$5)</c:f>
              <c:numCache>
                <c:formatCode>0.0</c:formatCode>
                <c:ptCount val="3"/>
                <c:pt idx="0">
                  <c:v>5.9</c:v>
                </c:pt>
                <c:pt idx="1">
                  <c:v>5.7</c:v>
                </c:pt>
                <c:pt idx="2">
                  <c:v>4.5999999999999996</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2BA5-46C2-8C43-68D9F07710EB}"/>
            </c:ext>
          </c:extLst>
        </c:ser>
        <c:ser>
          <c:idx val="3"/>
          <c:order val="3"/>
          <c:tx>
            <c:strRef>
              <c:f>'Гинек. заболеваемость'!$A$6</c:f>
              <c:strCache>
                <c:ptCount val="1"/>
                <c:pt idx="0">
                  <c:v>Расстройства менструации (на 1000 женщин 15-49 лет)</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('Гинек. заболеваемость'!$D$1,'Гинек. заболеваемость'!$F$1,'Гинек. заболеваемость'!$H$1)</c:f>
              <c:numCache>
                <c:formatCode>General</c:formatCode>
                <c:ptCount val="3"/>
                <c:pt idx="0">
                  <c:v>2018</c:v>
                </c:pt>
                <c:pt idx="1">
                  <c:v>2019</c:v>
                </c:pt>
                <c:pt idx="2">
                  <c:v>2020</c:v>
                </c:pt>
              </c:numCache>
              <c:extLst xmlns:c16r2="http://schemas.microsoft.com/office/drawing/2015/06/chart"/>
            </c:numRef>
          </c:cat>
          <c:val>
            <c:numRef>
              <c:f>('Гинек. заболеваемость'!$D$6,'Гинек. заболеваемость'!$F$6,'Гинек. заболеваемость'!$H$6)</c:f>
              <c:numCache>
                <c:formatCode>0.0</c:formatCode>
                <c:ptCount val="3"/>
                <c:pt idx="0">
                  <c:v>16.600000000000001</c:v>
                </c:pt>
                <c:pt idx="1">
                  <c:v>18.7</c:v>
                </c:pt>
                <c:pt idx="2">
                  <c:v>18.3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2BA5-46C2-8C43-68D9F07710EB}"/>
            </c:ext>
          </c:extLst>
        </c:ser>
        <c:ser>
          <c:idx val="4"/>
          <c:order val="4"/>
          <c:tx>
            <c:strRef>
              <c:f>'Гинек. заболеваемость'!$A$7</c:f>
              <c:strCache>
                <c:ptCount val="1"/>
                <c:pt idx="0">
                  <c:v>Женское бесплодие (на 1000 женщин 15-49 лет)</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('Гинек. заболеваемость'!$D$1,'Гинек. заболеваемость'!$F$1,'Гинек. заболеваемость'!$H$1)</c:f>
              <c:numCache>
                <c:formatCode>General</c:formatCode>
                <c:ptCount val="3"/>
                <c:pt idx="0">
                  <c:v>2018</c:v>
                </c:pt>
                <c:pt idx="1">
                  <c:v>2019</c:v>
                </c:pt>
                <c:pt idx="2">
                  <c:v>2020</c:v>
                </c:pt>
              </c:numCache>
              <c:extLst xmlns:c16r2="http://schemas.microsoft.com/office/drawing/2015/06/chart"/>
            </c:numRef>
          </c:cat>
          <c:val>
            <c:numRef>
              <c:f>('Гинек. заболеваемость'!$D$7,'Гинек. заболеваемость'!$F$7,'Гинек. заболеваемость'!$H$7)</c:f>
              <c:numCache>
                <c:formatCode>0.0</c:formatCode>
                <c:ptCount val="3"/>
                <c:pt idx="0">
                  <c:v>4.8</c:v>
                </c:pt>
                <c:pt idx="1">
                  <c:v>4.5999999999999996</c:v>
                </c:pt>
                <c:pt idx="2">
                  <c:v>3.5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4-2BA5-46C2-8C43-68D9F07710EB}"/>
            </c:ext>
          </c:extLst>
        </c:ser>
        <c:dLbls>
          <c:showLegendKey val="0"/>
          <c:showVal val="1"/>
          <c:showCatName val="0"/>
          <c:showSerName val="0"/>
          <c:showPercent val="0"/>
          <c:showBubbleSize val="0"/>
        </c:dLbls>
        <c:gapWidth val="150"/>
        <c:shape val="box"/>
        <c:axId val="138234496"/>
        <c:axId val="82002304"/>
        <c:axId val="0"/>
      </c:bar3DChart>
      <c:catAx>
        <c:axId val="138234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002304"/>
        <c:crosses val="autoZero"/>
        <c:auto val="1"/>
        <c:lblAlgn val="ctr"/>
        <c:lblOffset val="100"/>
        <c:noMultiLvlLbl val="0"/>
      </c:catAx>
      <c:valAx>
        <c:axId val="820023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8234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98"/>
              <a:t>Всего</a:t>
            </a:r>
            <a:r>
              <a:rPr lang="ru-RU" sz="1398" baseline="0"/>
              <a:t> абортов</a:t>
            </a:r>
            <a:endParaRPr lang="ru-RU" sz="1400"/>
          </a:p>
        </c:rich>
      </c:tx>
      <c:overlay val="0"/>
      <c:spPr>
        <a:noFill/>
        <a:ln>
          <a:noFill/>
        </a:ln>
        <a:effectLst/>
      </c:spPr>
    </c:title>
    <c:autoTitleDeleted val="0"/>
    <c:plotArea>
      <c:layout>
        <c:manualLayout>
          <c:layoutTarget val="inner"/>
          <c:xMode val="edge"/>
          <c:yMode val="edge"/>
          <c:x val="6.8264451378607566E-2"/>
          <c:y val="0.29814197387652036"/>
          <c:w val="0.90230714413287449"/>
          <c:h val="0.49366877718901003"/>
        </c:manualLayout>
      </c:layout>
      <c:lineChart>
        <c:grouping val="standard"/>
        <c:varyColors val="0"/>
        <c:ser>
          <c:idx val="1"/>
          <c:order val="0"/>
          <c:spPr>
            <a:ln w="44383" cap="sq">
              <a:solidFill>
                <a:srgbClr val="CA2C30"/>
              </a:solidFill>
              <a:bevel/>
              <a:headEnd type="diamond"/>
              <a:tailEnd type="diamond"/>
            </a:ln>
            <a:effectLst/>
          </c:spPr>
          <c:marker>
            <c:symbol val="diamond"/>
            <c:size val="8"/>
            <c:spPr>
              <a:solidFill>
                <a:srgbClr val="CA2C30"/>
              </a:solidFill>
              <a:ln w="47554" cap="sq" cmpd="sng">
                <a:solidFill>
                  <a:srgbClr val="CA2C30"/>
                </a:solidFill>
                <a:headEnd type="none"/>
              </a:ln>
              <a:effectLst/>
              <a:scene3d>
                <a:camera prst="orthographicFront"/>
                <a:lightRig rig="contrasting" dir="t">
                  <a:rot lat="0" lon="0" rev="7800000"/>
                </a:lightRig>
              </a:scene3d>
              <a:sp3d>
                <a:bevelT w="139700" h="139700"/>
              </a:sp3d>
            </c:spPr>
          </c:marker>
          <c:dPt>
            <c:idx val="1"/>
            <c:marker>
              <c:spPr>
                <a:solidFill>
                  <a:srgbClr val="CA2C30"/>
                </a:solidFill>
                <a:ln w="47554" cap="sq" cmpd="sng">
                  <a:solidFill>
                    <a:srgbClr val="CA2C30"/>
                  </a:solidFill>
                  <a:headEnd type="none"/>
                  <a:tailEnd type="diamond"/>
                </a:ln>
                <a:effectLst/>
                <a:scene3d>
                  <a:camera prst="orthographicFront"/>
                  <a:lightRig rig="contrasting" dir="t">
                    <a:rot lat="0" lon="0" rev="7800000"/>
                  </a:lightRig>
                </a:scene3d>
                <a:sp3d>
                  <a:bevelT w="139700" h="139700"/>
                </a:sp3d>
              </c:spPr>
            </c:marker>
            <c:bubble3D val="0"/>
            <c:spPr>
              <a:ln w="44383" cap="sq">
                <a:solidFill>
                  <a:srgbClr val="CA2C30"/>
                </a:solidFill>
                <a:bevel/>
                <a:headEnd type="diamond"/>
                <a:tailEnd type="diamond"/>
              </a:ln>
              <a:effectLst/>
            </c:spPr>
          </c:dPt>
          <c:dPt>
            <c:idx val="2"/>
            <c:marker>
              <c:spPr>
                <a:solidFill>
                  <a:srgbClr val="CA2C30"/>
                </a:solidFill>
                <a:ln w="47554" cap="sq" cmpd="sng">
                  <a:solidFill>
                    <a:srgbClr val="CA2C30"/>
                  </a:solidFill>
                  <a:miter lim="800000"/>
                  <a:headEnd type="none"/>
                </a:ln>
                <a:effectLst/>
                <a:scene3d>
                  <a:camera prst="orthographicFront"/>
                  <a:lightRig rig="contrasting" dir="t">
                    <a:rot lat="0" lon="0" rev="7800000"/>
                  </a:lightRig>
                </a:scene3d>
                <a:sp3d>
                  <a:bevelT w="139700" h="139700"/>
                </a:sp3d>
              </c:spPr>
            </c:marker>
            <c:bubble3D val="0"/>
            <c:spPr>
              <a:ln w="44383" cap="sq">
                <a:solidFill>
                  <a:srgbClr val="CA2C30"/>
                </a:solidFill>
                <a:bevel/>
                <a:headEnd type="diamond"/>
                <a:tailEnd type="diamond"/>
              </a:ln>
              <a:effectLst/>
            </c:spPr>
          </c:dPt>
          <c:dLbls>
            <c:dLbl>
              <c:idx val="0"/>
              <c:layout>
                <c:manualLayout>
                  <c:x val="-3.6219574755098995E-2"/>
                  <c:y val="8.7431663893407716E-2"/>
                </c:manualLayout>
              </c:layout>
              <c:dLblPos val="r"/>
              <c:showLegendKey val="0"/>
              <c:showVal val="1"/>
              <c:showCatName val="0"/>
              <c:showSerName val="0"/>
              <c:showPercent val="0"/>
              <c:showBubbleSize val="0"/>
            </c:dLbl>
            <c:dLbl>
              <c:idx val="1"/>
              <c:layout>
                <c:manualLayout>
                  <c:x val="-4.0747021599486365E-2"/>
                  <c:y val="0.13114749584011159"/>
                </c:manualLayout>
              </c:layout>
              <c:dLblPos val="r"/>
              <c:showLegendKey val="0"/>
              <c:showVal val="1"/>
              <c:showCatName val="0"/>
              <c:showSerName val="0"/>
              <c:showPercent val="0"/>
              <c:showBubbleSize val="0"/>
            </c:dLbl>
            <c:dLbl>
              <c:idx val="2"/>
              <c:layout>
                <c:manualLayout>
                  <c:x val="-4.3010745021680057E-2"/>
                  <c:y val="0.10491799667208926"/>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Лист1!$A$2:$C$2</c:f>
              <c:numCache>
                <c:formatCode>General</c:formatCode>
                <c:ptCount val="3"/>
                <c:pt idx="0">
                  <c:v>2018</c:v>
                </c:pt>
                <c:pt idx="1">
                  <c:v>2019</c:v>
                </c:pt>
                <c:pt idx="2">
                  <c:v>2020</c:v>
                </c:pt>
              </c:numCache>
            </c:numRef>
          </c:cat>
          <c:val>
            <c:numRef>
              <c:f>Лист1!$A$3:$C$3</c:f>
              <c:numCache>
                <c:formatCode>General</c:formatCode>
                <c:ptCount val="3"/>
                <c:pt idx="0">
                  <c:v>4400</c:v>
                </c:pt>
                <c:pt idx="1">
                  <c:v>3768</c:v>
                </c:pt>
                <c:pt idx="2">
                  <c:v>3026</c:v>
                </c:pt>
              </c:numCache>
            </c:numRef>
          </c:val>
          <c:smooth val="0"/>
        </c:ser>
        <c:dLbls>
          <c:showLegendKey val="0"/>
          <c:showVal val="0"/>
          <c:showCatName val="0"/>
          <c:showSerName val="0"/>
          <c:showPercent val="0"/>
          <c:showBubbleSize val="0"/>
        </c:dLbls>
        <c:marker val="1"/>
        <c:smooth val="0"/>
        <c:axId val="82343808"/>
        <c:axId val="82345344"/>
      </c:lineChart>
      <c:catAx>
        <c:axId val="82343808"/>
        <c:scaling>
          <c:orientation val="minMax"/>
        </c:scaling>
        <c:delete val="0"/>
        <c:axPos val="b"/>
        <c:numFmt formatCode="General" sourceLinked="1"/>
        <c:majorTickMark val="none"/>
        <c:minorTickMark val="none"/>
        <c:tickLblPos val="nextTo"/>
        <c:spPr>
          <a:noFill/>
          <a:ln w="9511" cap="flat" cmpd="sng" algn="ctr">
            <a:solidFill>
              <a:schemeClr val="tx1">
                <a:lumMod val="15000"/>
                <a:lumOff val="85000"/>
              </a:schemeClr>
            </a:solidFill>
            <a:round/>
          </a:ln>
          <a:effectLst/>
        </c:spPr>
        <c:txPr>
          <a:bodyPr rot="-60000000" spcFirstLastPara="1" vertOverflow="ellipsis" vert="horz" wrap="square" anchor="ctr" anchorCtr="1"/>
          <a:lstStyle/>
          <a:p>
            <a:pPr>
              <a:defRPr sz="11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345344"/>
        <c:crosses val="autoZero"/>
        <c:auto val="1"/>
        <c:lblAlgn val="ctr"/>
        <c:lblOffset val="100"/>
        <c:noMultiLvlLbl val="0"/>
      </c:catAx>
      <c:valAx>
        <c:axId val="82345344"/>
        <c:scaling>
          <c:orientation val="minMax"/>
        </c:scaling>
        <c:delete val="0"/>
        <c:axPos val="l"/>
        <c:majorGridlines>
          <c:spPr>
            <a:ln w="951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4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343808"/>
        <c:crosses val="autoZero"/>
        <c:crossBetween val="between"/>
      </c:valAx>
      <c:spPr>
        <a:noFill/>
        <a:ln w="25362">
          <a:noFill/>
        </a:ln>
      </c:spPr>
    </c:plotArea>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98"/>
              <a:t>Число абортов на 1000 женщин фертильного возраста</a:t>
            </a:r>
          </a:p>
        </c:rich>
      </c:tx>
      <c:overlay val="0"/>
      <c:spPr>
        <a:noFill/>
        <a:ln>
          <a:noFill/>
        </a:ln>
        <a:effectLst/>
      </c:spPr>
    </c:title>
    <c:autoTitleDeleted val="0"/>
    <c:plotArea>
      <c:layout>
        <c:manualLayout>
          <c:layoutTarget val="inner"/>
          <c:xMode val="edge"/>
          <c:yMode val="edge"/>
          <c:x val="6.8264451378607566E-2"/>
          <c:y val="0.29814197387652036"/>
          <c:w val="0.90230714413287449"/>
          <c:h val="0.49366877718901003"/>
        </c:manualLayout>
      </c:layout>
      <c:lineChart>
        <c:grouping val="standard"/>
        <c:varyColors val="0"/>
        <c:ser>
          <c:idx val="1"/>
          <c:order val="0"/>
          <c:spPr>
            <a:ln w="44383" cap="rnd">
              <a:solidFill>
                <a:srgbClr val="ED7D31"/>
              </a:solidFill>
              <a:round/>
            </a:ln>
            <a:effectLst/>
          </c:spPr>
          <c:marker>
            <c:symbol val="diamond"/>
            <c:size val="8"/>
            <c:spPr>
              <a:solidFill>
                <a:srgbClr val="ED7D31"/>
              </a:solidFill>
              <a:ln w="47554" cap="sq" cmpd="sng">
                <a:solidFill>
                  <a:srgbClr val="ED7D31"/>
                </a:solidFill>
                <a:headEnd type="none"/>
              </a:ln>
              <a:effectLst/>
              <a:scene3d>
                <a:camera prst="orthographicFront"/>
                <a:lightRig rig="contrasting" dir="t">
                  <a:rot lat="0" lon="0" rev="7800000"/>
                </a:lightRig>
              </a:scene3d>
              <a:sp3d>
                <a:bevelT w="139700" h="139700"/>
              </a:sp3d>
            </c:spPr>
          </c:marker>
          <c:dLbls>
            <c:dLbl>
              <c:idx val="0"/>
              <c:layout>
                <c:manualLayout>
                  <c:x val="-3.0573240229836943E-2"/>
                  <c:y val="0.1189358372456964"/>
                </c:manualLayout>
              </c:layout>
              <c:dLblPos val="r"/>
              <c:showLegendKey val="0"/>
              <c:showVal val="1"/>
              <c:showCatName val="0"/>
              <c:showSerName val="0"/>
              <c:showPercent val="0"/>
              <c:showBubbleSize val="0"/>
            </c:dLbl>
            <c:dLbl>
              <c:idx val="1"/>
              <c:layout>
                <c:manualLayout>
                  <c:x val="-3.3970266922041109E-2"/>
                  <c:y val="0.10641627543035993"/>
                </c:manualLayout>
              </c:layout>
              <c:dLblPos val="r"/>
              <c:showLegendKey val="0"/>
              <c:showVal val="1"/>
              <c:showCatName val="0"/>
              <c:showSerName val="0"/>
              <c:showPercent val="0"/>
              <c:showBubbleSize val="0"/>
            </c:dLbl>
            <c:dLbl>
              <c:idx val="2"/>
              <c:layout>
                <c:manualLayout>
                  <c:x val="-2.8874726883734891E-2"/>
                  <c:y val="0.11893583724569634"/>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Лист1!$D$2:$F$2</c:f>
              <c:numCache>
                <c:formatCode>General</c:formatCode>
                <c:ptCount val="3"/>
                <c:pt idx="0">
                  <c:v>2018</c:v>
                </c:pt>
                <c:pt idx="1">
                  <c:v>2019</c:v>
                </c:pt>
                <c:pt idx="2">
                  <c:v>2020</c:v>
                </c:pt>
              </c:numCache>
            </c:numRef>
          </c:cat>
          <c:val>
            <c:numRef>
              <c:f>Лист1!$D$3:$F$3</c:f>
              <c:numCache>
                <c:formatCode>General</c:formatCode>
                <c:ptCount val="3"/>
                <c:pt idx="0">
                  <c:v>16.899999999999999</c:v>
                </c:pt>
                <c:pt idx="1">
                  <c:v>14.7</c:v>
                </c:pt>
                <c:pt idx="2">
                  <c:v>11.9</c:v>
                </c:pt>
              </c:numCache>
            </c:numRef>
          </c:val>
          <c:smooth val="0"/>
        </c:ser>
        <c:dLbls>
          <c:showLegendKey val="0"/>
          <c:showVal val="0"/>
          <c:showCatName val="0"/>
          <c:showSerName val="0"/>
          <c:showPercent val="0"/>
          <c:showBubbleSize val="0"/>
        </c:dLbls>
        <c:marker val="1"/>
        <c:smooth val="0"/>
        <c:axId val="82369920"/>
        <c:axId val="82093184"/>
      </c:lineChart>
      <c:catAx>
        <c:axId val="82369920"/>
        <c:scaling>
          <c:orientation val="minMax"/>
        </c:scaling>
        <c:delete val="0"/>
        <c:axPos val="b"/>
        <c:numFmt formatCode="General" sourceLinked="1"/>
        <c:majorTickMark val="none"/>
        <c:minorTickMark val="none"/>
        <c:tickLblPos val="nextTo"/>
        <c:spPr>
          <a:noFill/>
          <a:ln w="9511" cap="flat" cmpd="sng" algn="ctr">
            <a:solidFill>
              <a:schemeClr val="tx1">
                <a:lumMod val="15000"/>
                <a:lumOff val="85000"/>
              </a:schemeClr>
            </a:solidFill>
            <a:round/>
          </a:ln>
          <a:effectLst/>
        </c:spPr>
        <c:txPr>
          <a:bodyPr rot="-60000000" spcFirstLastPara="1" vertOverflow="ellipsis" vert="horz" wrap="square" anchor="ctr" anchorCtr="1"/>
          <a:lstStyle/>
          <a:p>
            <a:pPr>
              <a:defRPr sz="11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093184"/>
        <c:crosses val="autoZero"/>
        <c:auto val="1"/>
        <c:lblAlgn val="ctr"/>
        <c:lblOffset val="100"/>
        <c:noMultiLvlLbl val="0"/>
      </c:catAx>
      <c:valAx>
        <c:axId val="82093184"/>
        <c:scaling>
          <c:orientation val="minMax"/>
        </c:scaling>
        <c:delete val="0"/>
        <c:axPos val="l"/>
        <c:majorGridlines>
          <c:spPr>
            <a:ln w="951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4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369920"/>
        <c:crosses val="autoZero"/>
        <c:crossBetween val="between"/>
      </c:valAx>
      <c:spPr>
        <a:noFill/>
        <a:ln w="25362">
          <a:noFill/>
        </a:ln>
      </c:spPr>
    </c:plotArea>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98"/>
              <a:t>Количество абортов на 100 родов</a:t>
            </a:r>
          </a:p>
        </c:rich>
      </c:tx>
      <c:overlay val="0"/>
      <c:spPr>
        <a:noFill/>
        <a:ln>
          <a:noFill/>
        </a:ln>
        <a:effectLst/>
      </c:spPr>
    </c:title>
    <c:autoTitleDeleted val="0"/>
    <c:plotArea>
      <c:layout>
        <c:manualLayout>
          <c:layoutTarget val="inner"/>
          <c:xMode val="edge"/>
          <c:yMode val="edge"/>
          <c:x val="6.8264451378607566E-2"/>
          <c:y val="0.29814197387652036"/>
          <c:w val="0.90230714413287449"/>
          <c:h val="0.49366877718901003"/>
        </c:manualLayout>
      </c:layout>
      <c:lineChart>
        <c:grouping val="standard"/>
        <c:varyColors val="0"/>
        <c:ser>
          <c:idx val="1"/>
          <c:order val="0"/>
          <c:spPr>
            <a:ln w="44383" cap="rnd">
              <a:solidFill>
                <a:srgbClr val="5B9BD5">
                  <a:lumMod val="75000"/>
                </a:srgbClr>
              </a:solidFill>
              <a:round/>
            </a:ln>
            <a:effectLst/>
          </c:spPr>
          <c:marker>
            <c:symbol val="diamond"/>
            <c:size val="8"/>
            <c:spPr>
              <a:solidFill>
                <a:srgbClr val="ED7D31"/>
              </a:solidFill>
              <a:ln w="47554" cap="sq" cmpd="sng">
                <a:solidFill>
                  <a:srgbClr val="5B9BD5">
                    <a:lumMod val="75000"/>
                  </a:srgbClr>
                </a:solidFill>
                <a:headEnd type="none"/>
              </a:ln>
              <a:effectLst/>
              <a:scene3d>
                <a:camera prst="orthographicFront"/>
                <a:lightRig rig="contrasting" dir="t">
                  <a:rot lat="0" lon="0" rev="7800000"/>
                </a:lightRig>
              </a:scene3d>
              <a:sp3d>
                <a:bevelT w="139700" h="139700"/>
              </a:sp3d>
            </c:spPr>
          </c:marker>
          <c:dPt>
            <c:idx val="0"/>
            <c:marker>
              <c:spPr>
                <a:solidFill>
                  <a:srgbClr val="5B9BD5">
                    <a:lumMod val="75000"/>
                  </a:srgbClr>
                </a:solidFill>
                <a:ln w="47554" cap="sq" cmpd="sng">
                  <a:solidFill>
                    <a:srgbClr val="5B9BD5">
                      <a:lumMod val="75000"/>
                    </a:srgbClr>
                  </a:solidFill>
                  <a:headEnd type="none"/>
                </a:ln>
                <a:effectLst/>
                <a:scene3d>
                  <a:camera prst="orthographicFront"/>
                  <a:lightRig rig="contrasting" dir="t">
                    <a:rot lat="0" lon="0" rev="7800000"/>
                  </a:lightRig>
                </a:scene3d>
                <a:sp3d>
                  <a:bevelT w="139700" h="139700"/>
                </a:sp3d>
              </c:spPr>
            </c:marker>
            <c:bubble3D val="0"/>
          </c:dPt>
          <c:dPt>
            <c:idx val="1"/>
            <c:marker>
              <c:spPr>
                <a:solidFill>
                  <a:srgbClr val="5B9BD5">
                    <a:lumMod val="75000"/>
                  </a:srgbClr>
                </a:solidFill>
                <a:ln w="47554" cap="sq" cmpd="sng">
                  <a:solidFill>
                    <a:srgbClr val="5B9BD5">
                      <a:lumMod val="75000"/>
                    </a:srgbClr>
                  </a:solidFill>
                  <a:headEnd type="none"/>
                </a:ln>
                <a:effectLst/>
                <a:scene3d>
                  <a:camera prst="orthographicFront"/>
                  <a:lightRig rig="contrasting" dir="t">
                    <a:rot lat="0" lon="0" rev="7800000"/>
                  </a:lightRig>
                </a:scene3d>
                <a:sp3d>
                  <a:bevelT w="139700" h="139700"/>
                </a:sp3d>
              </c:spPr>
            </c:marker>
            <c:bubble3D val="0"/>
          </c:dPt>
          <c:dPt>
            <c:idx val="2"/>
            <c:marker>
              <c:spPr>
                <a:solidFill>
                  <a:srgbClr val="5B9BD5">
                    <a:lumMod val="75000"/>
                  </a:srgbClr>
                </a:solidFill>
                <a:ln w="47554" cap="sq" cmpd="sng">
                  <a:solidFill>
                    <a:srgbClr val="5B9BD5">
                      <a:lumMod val="75000"/>
                    </a:srgbClr>
                  </a:solidFill>
                  <a:headEnd type="none"/>
                </a:ln>
                <a:effectLst/>
                <a:scene3d>
                  <a:camera prst="orthographicFront"/>
                  <a:lightRig rig="contrasting" dir="t">
                    <a:rot lat="0" lon="0" rev="7800000"/>
                  </a:lightRig>
                </a:scene3d>
                <a:sp3d>
                  <a:bevelT w="139700" h="139700"/>
                </a:sp3d>
              </c:spPr>
            </c:marker>
            <c:bubble3D val="0"/>
          </c:dPt>
          <c:dLbls>
            <c:dLbl>
              <c:idx val="0"/>
              <c:layout>
                <c:manualLayout>
                  <c:x val="-2.5477700191530752E-2"/>
                  <c:y val="9.3896713615023469E-2"/>
                </c:manualLayout>
              </c:layout>
              <c:dLblPos val="r"/>
              <c:showLegendKey val="0"/>
              <c:showVal val="1"/>
              <c:showCatName val="0"/>
              <c:showSerName val="0"/>
              <c:showPercent val="0"/>
              <c:showBubbleSize val="0"/>
            </c:dLbl>
            <c:dLbl>
              <c:idx val="1"/>
              <c:layout>
                <c:manualLayout>
                  <c:x val="-3.057324022983688E-2"/>
                  <c:y val="0.10015649452269171"/>
                </c:manualLayout>
              </c:layout>
              <c:dLblPos val="r"/>
              <c:showLegendKey val="0"/>
              <c:showVal val="1"/>
              <c:showCatName val="0"/>
              <c:showSerName val="0"/>
              <c:showPercent val="0"/>
              <c:showBubbleSize val="0"/>
            </c:dLbl>
            <c:dLbl>
              <c:idx val="2"/>
              <c:layout>
                <c:manualLayout>
                  <c:x val="-1.6985133461021769E-3"/>
                  <c:y val="8.1377151799687006E-2"/>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Лист1!$G$2:$I$2</c:f>
              <c:numCache>
                <c:formatCode>General</c:formatCode>
                <c:ptCount val="3"/>
                <c:pt idx="0">
                  <c:v>2018</c:v>
                </c:pt>
                <c:pt idx="1">
                  <c:v>2019</c:v>
                </c:pt>
                <c:pt idx="2">
                  <c:v>2020</c:v>
                </c:pt>
              </c:numCache>
            </c:numRef>
          </c:cat>
          <c:val>
            <c:numRef>
              <c:f>Лист1!$G$3:$I$3</c:f>
              <c:numCache>
                <c:formatCode>General</c:formatCode>
                <c:ptCount val="3"/>
                <c:pt idx="0">
                  <c:v>40.1</c:v>
                </c:pt>
                <c:pt idx="1">
                  <c:v>38.5</c:v>
                </c:pt>
                <c:pt idx="2">
                  <c:v>32.1</c:v>
                </c:pt>
              </c:numCache>
            </c:numRef>
          </c:val>
          <c:smooth val="0"/>
        </c:ser>
        <c:dLbls>
          <c:showLegendKey val="0"/>
          <c:showVal val="0"/>
          <c:showCatName val="0"/>
          <c:showSerName val="0"/>
          <c:showPercent val="0"/>
          <c:showBubbleSize val="0"/>
        </c:dLbls>
        <c:marker val="1"/>
        <c:smooth val="0"/>
        <c:axId val="82188544"/>
        <c:axId val="82219008"/>
      </c:lineChart>
      <c:catAx>
        <c:axId val="82188544"/>
        <c:scaling>
          <c:orientation val="minMax"/>
        </c:scaling>
        <c:delete val="0"/>
        <c:axPos val="b"/>
        <c:numFmt formatCode="General" sourceLinked="1"/>
        <c:majorTickMark val="none"/>
        <c:minorTickMark val="none"/>
        <c:tickLblPos val="nextTo"/>
        <c:spPr>
          <a:noFill/>
          <a:ln w="9511" cap="flat" cmpd="sng" algn="ctr">
            <a:solidFill>
              <a:schemeClr val="tx1">
                <a:lumMod val="15000"/>
                <a:lumOff val="85000"/>
              </a:schemeClr>
            </a:solidFill>
            <a:round/>
          </a:ln>
          <a:effectLst/>
        </c:spPr>
        <c:txPr>
          <a:bodyPr rot="-60000000" spcFirstLastPara="1" vertOverflow="ellipsis" vert="horz" wrap="square" anchor="ctr" anchorCtr="1"/>
          <a:lstStyle/>
          <a:p>
            <a:pPr>
              <a:defRPr sz="11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219008"/>
        <c:crosses val="autoZero"/>
        <c:auto val="1"/>
        <c:lblAlgn val="ctr"/>
        <c:lblOffset val="100"/>
        <c:noMultiLvlLbl val="0"/>
      </c:catAx>
      <c:valAx>
        <c:axId val="82219008"/>
        <c:scaling>
          <c:orientation val="minMax"/>
        </c:scaling>
        <c:delete val="0"/>
        <c:axPos val="l"/>
        <c:majorGridlines>
          <c:spPr>
            <a:ln w="951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4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188544"/>
        <c:crosses val="autoZero"/>
        <c:crossBetween val="between"/>
      </c:valAx>
      <c:spPr>
        <a:noFill/>
        <a:ln w="25362">
          <a:noFill/>
        </a:ln>
      </c:spPr>
    </c:plotArea>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a:solidFill>
                  <a:sysClr val="windowText" lastClr="000000"/>
                </a:solidFill>
              </a:rPr>
              <a:t>Общая заболеваемость</a:t>
            </a:r>
          </a:p>
        </c:rich>
      </c:tx>
      <c:layout>
        <c:manualLayout>
          <c:xMode val="edge"/>
          <c:yMode val="edge"/>
          <c:x val="0.34681918831807262"/>
          <c:y val="2.7777869871529217E-2"/>
        </c:manualLayout>
      </c:layout>
      <c:overlay val="0"/>
      <c:spPr>
        <a:noFill/>
        <a:ln w="25395">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chemeClr val="accent6"/>
            </a:solidFill>
            <a:ln>
              <a:solidFill>
                <a:schemeClr val="accent6"/>
              </a:solidFill>
            </a:ln>
            <a:effectLst/>
            <a:sp3d>
              <a:contourClr>
                <a:schemeClr val="accent6"/>
              </a:contourClr>
            </a:sp3d>
          </c:spPr>
          <c:invertIfNegative val="0"/>
          <c:dLbls>
            <c:dLbl>
              <c:idx val="0"/>
              <c:layout>
                <c:manualLayout>
                  <c:x val="-2.777777777777803E-3"/>
                  <c:y val="0.22685185185185178"/>
                </c:manualLayout>
              </c:layout>
              <c:showLegendKey val="0"/>
              <c:showVal val="1"/>
              <c:showCatName val="0"/>
              <c:showSerName val="0"/>
              <c:showPercent val="0"/>
              <c:showBubbleSize val="0"/>
            </c:dLbl>
            <c:dLbl>
              <c:idx val="1"/>
              <c:layout>
                <c:manualLayout>
                  <c:x val="0"/>
                  <c:y val="0.125"/>
                </c:manualLayout>
              </c:layout>
              <c:showLegendKey val="0"/>
              <c:showVal val="1"/>
              <c:showCatName val="0"/>
              <c:showSerName val="0"/>
              <c:showPercent val="0"/>
              <c:showBubbleSize val="0"/>
            </c:dLbl>
            <c:dLbl>
              <c:idx val="2"/>
              <c:layout>
                <c:manualLayout>
                  <c:x val="-2.7777777777778798E-3"/>
                  <c:y val="0.27777777777777768"/>
                </c:manualLayout>
              </c:layout>
              <c:showLegendKey val="0"/>
              <c:showVal val="1"/>
              <c:showCatName val="0"/>
              <c:showSerName val="0"/>
              <c:showPercent val="0"/>
              <c:showBubbleSize val="0"/>
            </c:dLbl>
            <c:spPr>
              <a:noFill/>
              <a:ln w="25395">
                <a:noFill/>
              </a:ln>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Лист2!$Q$6:$S$6</c:f>
              <c:numCache>
                <c:formatCode>General</c:formatCode>
                <c:ptCount val="3"/>
                <c:pt idx="0">
                  <c:v>2018</c:v>
                </c:pt>
                <c:pt idx="1">
                  <c:v>2019</c:v>
                </c:pt>
                <c:pt idx="2">
                  <c:v>2020</c:v>
                </c:pt>
              </c:numCache>
            </c:numRef>
          </c:cat>
          <c:val>
            <c:numRef>
              <c:f>Лист2!$Q$7:$S$7</c:f>
              <c:numCache>
                <c:formatCode>General</c:formatCode>
                <c:ptCount val="3"/>
                <c:pt idx="0">
                  <c:v>809.8</c:v>
                </c:pt>
                <c:pt idx="1">
                  <c:v>877.8</c:v>
                </c:pt>
                <c:pt idx="2">
                  <c:v>857.9</c:v>
                </c:pt>
              </c:numCache>
            </c:numRef>
          </c:val>
        </c:ser>
        <c:dLbls>
          <c:showLegendKey val="0"/>
          <c:showVal val="0"/>
          <c:showCatName val="0"/>
          <c:showSerName val="0"/>
          <c:showPercent val="0"/>
          <c:showBubbleSize val="0"/>
        </c:dLbls>
        <c:gapWidth val="150"/>
        <c:shape val="box"/>
        <c:axId val="82227584"/>
        <c:axId val="82229120"/>
        <c:axId val="0"/>
      </c:bar3DChart>
      <c:catAx>
        <c:axId val="82227584"/>
        <c:scaling>
          <c:orientation val="minMax"/>
        </c:scaling>
        <c:delete val="0"/>
        <c:axPos val="b"/>
        <c:numFmt formatCode="General" sourceLinked="1"/>
        <c:majorTickMark val="none"/>
        <c:minorTickMark val="none"/>
        <c:tickLblPos val="nextTo"/>
        <c:spPr>
          <a:ln w="6349">
            <a:noFill/>
          </a:ln>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229120"/>
        <c:crosses val="autoZero"/>
        <c:auto val="1"/>
        <c:lblAlgn val="ctr"/>
        <c:lblOffset val="100"/>
        <c:noMultiLvlLbl val="0"/>
      </c:catAx>
      <c:valAx>
        <c:axId val="82229120"/>
        <c:scaling>
          <c:orientation val="minMax"/>
        </c:scaling>
        <c:delete val="0"/>
        <c:axPos val="l"/>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ln w="6349">
            <a:noFill/>
          </a:ln>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227584"/>
        <c:crosses val="autoZero"/>
        <c:crossBetween val="between"/>
      </c:valAx>
      <c:spPr>
        <a:noFill/>
        <a:ln w="25395">
          <a:noFill/>
        </a:ln>
      </c:spPr>
    </c:plotArea>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3619707781281931E-2"/>
          <c:y val="7.8740485288473827E-2"/>
          <c:w val="0.56060664104614299"/>
          <c:h val="0.83530098465213498"/>
        </c:manualLayout>
      </c:layout>
      <c:pie3DChart>
        <c:varyColors val="1"/>
        <c:ser>
          <c:idx val="0"/>
          <c:order val="0"/>
          <c:explosion val="18"/>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6"/>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7"/>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5"/>
              <c:layout>
                <c:manualLayout>
                  <c:x val="1.9367288699088478E-2"/>
                  <c:y val="-1.3542501282694866E-2"/>
                </c:manualLayout>
              </c:layout>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6"/>
              <c:layout>
                <c:manualLayout>
                  <c:x val="-4.9497967219296057E-3"/>
                  <c:y val="-2.0584674134255708E-2"/>
                </c:manualLayout>
              </c:layout>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7"/>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8"/>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9"/>
              <c:layout>
                <c:manualLayout>
                  <c:x val="-3.3804661172129468E-3"/>
                  <c:y val="-1.8363616843702801E-2"/>
                </c:manualLayout>
              </c:layout>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10"/>
              <c:layout>
                <c:manualLayout>
                  <c:x val="-5.3408840499116601E-2"/>
                  <c:y val="-6.5269538502763125E-2"/>
                </c:manualLayout>
              </c:layout>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11"/>
              <c:layout>
                <c:manualLayout>
                  <c:x val="-2.6155472849217969E-2"/>
                  <c:y val="-4.7936223111457732E-2"/>
                </c:manualLayout>
              </c:layout>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12"/>
              <c:layout>
                <c:manualLayout>
                  <c:x val="-1.2057297376143115E-2"/>
                  <c:y val="-2.2406423792065158E-2"/>
                </c:manualLayout>
              </c:layout>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13"/>
              <c:layout>
                <c:manualLayout>
                  <c:x val="9.8809415179473403E-3"/>
                  <c:y val="-1.5669972387804064E-2"/>
                </c:manualLayout>
              </c:layout>
              <c:dLblPos val="bestFit"/>
              <c:showLegendKey val="0"/>
              <c:showVal val="1"/>
              <c:showCatName val="0"/>
              <c:showSerName val="0"/>
              <c:showPercent val="0"/>
              <c:showBubbleSize val="0"/>
            </c:dLbl>
            <c:dLbl>
              <c:idx val="14"/>
              <c:layout>
                <c:manualLayout>
                  <c:x val="-1.6542471272962669E-2"/>
                  <c:y val="-7.9887415724880839E-2"/>
                </c:manualLayout>
              </c:layout>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15"/>
              <c:layout>
                <c:manualLayout>
                  <c:x val="3.4455803256358211E-4"/>
                  <c:y val="-3.9484942884381861E-2"/>
                </c:manualLayout>
              </c:layout>
              <c:spPr>
                <a:solidFill>
                  <a:sysClr val="window" lastClr="FFFFFF"/>
                </a:solidFill>
                <a:ln w="951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dLbl>
            <c:dLbl>
              <c:idx val="16"/>
              <c:layout>
                <c:manualLayout>
                  <c:x val="2.5927628963827439E-2"/>
                  <c:y val="-6.8741905975777673E-2"/>
                </c:manualLayout>
              </c:layout>
              <c:dLblPos val="bestFit"/>
              <c:showLegendKey val="0"/>
              <c:showVal val="1"/>
              <c:showCatName val="0"/>
              <c:showSerName val="0"/>
              <c:showPercent val="0"/>
              <c:showBubbleSize val="0"/>
            </c:dLbl>
            <c:dLbl>
              <c:idx val="17"/>
              <c:layout>
                <c:manualLayout>
                  <c:x val="5.946390344154838E-2"/>
                  <c:y val="-2.8803829374824664E-2"/>
                </c:manualLayout>
              </c:layout>
              <c:dLblPos val="bestFit"/>
              <c:showLegendKey val="0"/>
              <c:showVal val="1"/>
              <c:showCatName val="0"/>
              <c:showSerName val="0"/>
              <c:showPercent val="0"/>
              <c:showBubbleSize val="0"/>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0"/>
          </c:dLbls>
          <c:cat>
            <c:strRef>
              <c:f>Дети!$A$38:$A$55</c:f>
              <c:strCache>
                <c:ptCount val="18"/>
                <c:pt idx="0">
                  <c:v>болезни органов дыхания</c:v>
                </c:pt>
                <c:pt idx="1">
                  <c:v>травмы, отравления и некоторые другие последствия воздействия внешних причин</c:v>
                </c:pt>
                <c:pt idx="2">
                  <c:v>болезни глаза и его придаточного аппарата</c:v>
                </c:pt>
                <c:pt idx="3">
                  <c:v>болезни органов пищеварения</c:v>
                </c:pt>
                <c:pt idx="4">
                  <c:v>болезни костно-мышечной системы и соединительной ткани</c:v>
                </c:pt>
                <c:pt idx="5">
                  <c:v>болезни кожи и подкожной клетчатки</c:v>
                </c:pt>
                <c:pt idx="6">
                  <c:v>некоторые инфекционные и паразитарные болезни</c:v>
                </c:pt>
                <c:pt idx="7">
                  <c:v>болезни нервной системы</c:v>
                </c:pt>
                <c:pt idx="8">
                  <c:v>болезни мочеполовой системы</c:v>
                </c:pt>
                <c:pt idx="9">
                  <c:v>болезни уха и сосцевидного отростка</c:v>
                </c:pt>
                <c:pt idx="10">
                  <c:v>психические расстройства и расстройства поведения</c:v>
                </c:pt>
                <c:pt idx="11">
                  <c:v>врожденные аномалии (пороки развития), деформации и хромосомные нарушения</c:v>
                </c:pt>
                <c:pt idx="12">
                  <c:v>болезни эндокринной системы, расстройства питания и нарушения обмена веществ</c:v>
                </c:pt>
                <c:pt idx="13">
                  <c:v>болезни крови, кроветворных органов и отдельные нарушения, вовлекающие иммунный механизм</c:v>
                </c:pt>
                <c:pt idx="14">
                  <c:v>отдельные состояния, возникающие в перинатальном периоде</c:v>
                </c:pt>
                <c:pt idx="15">
                  <c:v>болезни системы кровообращения</c:v>
                </c:pt>
                <c:pt idx="16">
                  <c:v>новообразования</c:v>
                </c:pt>
                <c:pt idx="17">
                  <c:v>COVID-19</c:v>
                </c:pt>
              </c:strCache>
            </c:strRef>
          </c:cat>
          <c:val>
            <c:numRef>
              <c:f>Дети!$C$38:$C$55</c:f>
              <c:numCache>
                <c:formatCode>0.0</c:formatCode>
                <c:ptCount val="18"/>
                <c:pt idx="0">
                  <c:v>56.1</c:v>
                </c:pt>
                <c:pt idx="1">
                  <c:v>7</c:v>
                </c:pt>
                <c:pt idx="2">
                  <c:v>4.9000000000000004</c:v>
                </c:pt>
                <c:pt idx="3">
                  <c:v>4.7</c:v>
                </c:pt>
                <c:pt idx="4">
                  <c:v>4.5999999999999996</c:v>
                </c:pt>
                <c:pt idx="5">
                  <c:v>3.7</c:v>
                </c:pt>
                <c:pt idx="6">
                  <c:v>3.6</c:v>
                </c:pt>
                <c:pt idx="7">
                  <c:v>3.4</c:v>
                </c:pt>
                <c:pt idx="8">
                  <c:v>2.2999999999999998</c:v>
                </c:pt>
                <c:pt idx="9">
                  <c:v>2.1</c:v>
                </c:pt>
                <c:pt idx="10">
                  <c:v>1.6</c:v>
                </c:pt>
                <c:pt idx="11">
                  <c:v>1.5</c:v>
                </c:pt>
                <c:pt idx="12">
                  <c:v>1.2</c:v>
                </c:pt>
                <c:pt idx="13">
                  <c:v>1</c:v>
                </c:pt>
                <c:pt idx="14">
                  <c:v>0.9</c:v>
                </c:pt>
                <c:pt idx="15">
                  <c:v>0.7</c:v>
                </c:pt>
                <c:pt idx="16">
                  <c:v>0.3</c:v>
                </c:pt>
                <c:pt idx="17">
                  <c:v>0.3</c:v>
                </c:pt>
              </c:numCache>
            </c:numRef>
          </c:val>
        </c:ser>
        <c:dLbls>
          <c:showLegendKey val="0"/>
          <c:showVal val="0"/>
          <c:showCatName val="0"/>
          <c:showSerName val="0"/>
          <c:showPercent val="0"/>
          <c:showBubbleSize val="0"/>
          <c:showLeaderLines val="0"/>
        </c:dLbls>
      </c:pie3DChart>
      <c:spPr>
        <a:noFill/>
        <a:ln w="25374">
          <a:noFill/>
        </a:ln>
      </c:spPr>
    </c:plotArea>
    <c:legend>
      <c:legendPos val="r"/>
      <c:layout>
        <c:manualLayout>
          <c:xMode val="edge"/>
          <c:yMode val="edge"/>
          <c:x val="0.67635675019449937"/>
          <c:y val="9.6050150383562571E-2"/>
          <c:w val="0.31513264425008769"/>
          <c:h val="0.84759870681400884"/>
        </c:manualLayout>
      </c:layout>
      <c:overlay val="0"/>
      <c:spPr>
        <a:noFill/>
        <a:ln>
          <a:noFill/>
        </a:ln>
        <a:effectLst/>
      </c:spPr>
      <c:txPr>
        <a:bodyPr rot="0" spcFirstLastPara="1" vertOverflow="ellipsis" vert="horz" wrap="square" anchor="ctr" anchorCtr="1"/>
        <a:lstStyle/>
        <a:p>
          <a:pPr rtl="0">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7110289587184228E-2"/>
          <c:y val="0.13352406196718042"/>
          <c:w val="0.9457794208256316"/>
          <c:h val="0.78226656269112416"/>
        </c:manualLayout>
      </c:layout>
      <c:barChart>
        <c:barDir val="col"/>
        <c:grouping val="clustered"/>
        <c:varyColors val="0"/>
        <c:ser>
          <c:idx val="0"/>
          <c:order val="0"/>
          <c:tx>
            <c:strRef>
              <c:f>Лист1!$A$4</c:f>
              <c:strCache>
                <c:ptCount val="1"/>
                <c:pt idx="0">
                  <c:v>Липецкая обл.</c:v>
                </c:pt>
              </c:strCache>
            </c:strRef>
          </c:tx>
          <c:spPr>
            <a:solidFill>
              <a:srgbClr val="418BCF"/>
            </a:solidFill>
            <a:ln w="24228">
              <a:noFill/>
            </a:ln>
          </c:spPr>
          <c:invertIfNegative val="0"/>
          <c:dLbls>
            <c:spPr>
              <a:noFill/>
              <a:ln w="24228">
                <a:noFill/>
              </a:ln>
            </c:spPr>
            <c:txPr>
              <a:bodyPr/>
              <a:lstStyle/>
              <a:p>
                <a:pPr>
                  <a:defRPr sz="954" b="0" i="0" u="none" strike="noStrike" baseline="0">
                    <a:solidFill>
                      <a:srgbClr val="333333"/>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Лист1!$B$3:$C$3</c:f>
              <c:strCache>
                <c:ptCount val="2"/>
                <c:pt idx="0">
                  <c:v>2018 г.</c:v>
                </c:pt>
                <c:pt idx="1">
                  <c:v>2019 г.</c:v>
                </c:pt>
              </c:strCache>
            </c:strRef>
          </c:cat>
          <c:val>
            <c:numRef>
              <c:f>Лист1!$B$4:$C$4</c:f>
              <c:numCache>
                <c:formatCode>General</c:formatCode>
                <c:ptCount val="2"/>
                <c:pt idx="0">
                  <c:v>3.6</c:v>
                </c:pt>
                <c:pt idx="1">
                  <c:v>2.9</c:v>
                </c:pt>
              </c:numCache>
            </c:numRef>
          </c:val>
        </c:ser>
        <c:ser>
          <c:idx val="1"/>
          <c:order val="1"/>
          <c:tx>
            <c:strRef>
              <c:f>Лист1!$A$5</c:f>
              <c:strCache>
                <c:ptCount val="1"/>
                <c:pt idx="0">
                  <c:v>Центральный ФО</c:v>
                </c:pt>
              </c:strCache>
            </c:strRef>
          </c:tx>
          <c:spPr>
            <a:solidFill>
              <a:srgbClr val="CA5252"/>
            </a:solidFill>
            <a:ln w="24228">
              <a:noFill/>
            </a:ln>
          </c:spPr>
          <c:invertIfNegative val="0"/>
          <c:dLbls>
            <c:spPr>
              <a:noFill/>
              <a:ln w="24228">
                <a:noFill/>
              </a:ln>
            </c:spPr>
            <c:txPr>
              <a:bodyPr/>
              <a:lstStyle/>
              <a:p>
                <a:pPr>
                  <a:defRPr sz="954" b="0" i="0" u="none" strike="noStrike" baseline="0">
                    <a:solidFill>
                      <a:srgbClr val="333333"/>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Лист1!$B$3:$C$3</c:f>
              <c:strCache>
                <c:ptCount val="2"/>
                <c:pt idx="0">
                  <c:v>2018 г.</c:v>
                </c:pt>
                <c:pt idx="1">
                  <c:v>2019 г.</c:v>
                </c:pt>
              </c:strCache>
            </c:strRef>
          </c:cat>
          <c:val>
            <c:numRef>
              <c:f>Лист1!$B$5:$C$5</c:f>
              <c:numCache>
                <c:formatCode>General</c:formatCode>
                <c:ptCount val="2"/>
                <c:pt idx="0">
                  <c:v>4.7</c:v>
                </c:pt>
                <c:pt idx="1">
                  <c:v>4.4000000000000004</c:v>
                </c:pt>
              </c:numCache>
            </c:numRef>
          </c:val>
        </c:ser>
        <c:ser>
          <c:idx val="2"/>
          <c:order val="2"/>
          <c:tx>
            <c:strRef>
              <c:f>Лист1!$A$6</c:f>
              <c:strCache>
                <c:ptCount val="1"/>
                <c:pt idx="0">
                  <c:v>Российская Федерация</c:v>
                </c:pt>
              </c:strCache>
            </c:strRef>
          </c:tx>
          <c:spPr>
            <a:solidFill>
              <a:srgbClr val="ADDB7B"/>
            </a:solidFill>
            <a:ln w="24228">
              <a:noFill/>
            </a:ln>
          </c:spPr>
          <c:invertIfNegative val="0"/>
          <c:dLbls>
            <c:spPr>
              <a:noFill/>
              <a:ln w="24228">
                <a:noFill/>
              </a:ln>
            </c:spPr>
            <c:txPr>
              <a:bodyPr/>
              <a:lstStyle/>
              <a:p>
                <a:pPr>
                  <a:defRPr sz="954" b="0" i="0" u="none" strike="noStrike" baseline="0">
                    <a:solidFill>
                      <a:srgbClr val="333333"/>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Лист1!$B$3:$C$3</c:f>
              <c:strCache>
                <c:ptCount val="2"/>
                <c:pt idx="0">
                  <c:v>2018 г.</c:v>
                </c:pt>
                <c:pt idx="1">
                  <c:v>2019 г.</c:v>
                </c:pt>
              </c:strCache>
            </c:strRef>
          </c:cat>
          <c:val>
            <c:numRef>
              <c:f>Лист1!$B$6:$C$6</c:f>
              <c:numCache>
                <c:formatCode>General</c:formatCode>
                <c:ptCount val="2"/>
                <c:pt idx="0">
                  <c:v>5.0999999999999996</c:v>
                </c:pt>
                <c:pt idx="1">
                  <c:v>4.9000000000000004</c:v>
                </c:pt>
              </c:numCache>
            </c:numRef>
          </c:val>
        </c:ser>
        <c:dLbls>
          <c:showLegendKey val="0"/>
          <c:showVal val="0"/>
          <c:showCatName val="0"/>
          <c:showSerName val="0"/>
          <c:showPercent val="0"/>
          <c:showBubbleSize val="0"/>
        </c:dLbls>
        <c:gapWidth val="219"/>
        <c:overlap val="-27"/>
        <c:axId val="157424640"/>
        <c:axId val="157442816"/>
      </c:barChart>
      <c:catAx>
        <c:axId val="157424640"/>
        <c:scaling>
          <c:orientation val="minMax"/>
        </c:scaling>
        <c:delete val="0"/>
        <c:axPos val="b"/>
        <c:numFmt formatCode="General" sourceLinked="1"/>
        <c:majorTickMark val="none"/>
        <c:minorTickMark val="none"/>
        <c:tickLblPos val="nextTo"/>
        <c:spPr>
          <a:noFill/>
          <a:ln w="9086" cap="flat" cmpd="sng" algn="ctr">
            <a:solidFill>
              <a:schemeClr val="tx1">
                <a:lumMod val="15000"/>
                <a:lumOff val="85000"/>
              </a:schemeClr>
            </a:solidFill>
            <a:round/>
          </a:ln>
          <a:effectLst/>
        </c:spPr>
        <c:txPr>
          <a:bodyPr rot="0" vert="horz"/>
          <a:lstStyle/>
          <a:p>
            <a:pPr>
              <a:defRPr sz="954" b="0" i="0" u="none" strike="noStrike" baseline="0">
                <a:solidFill>
                  <a:srgbClr val="333333"/>
                </a:solidFill>
                <a:latin typeface="Times New Roman"/>
                <a:ea typeface="Times New Roman"/>
                <a:cs typeface="Times New Roman"/>
              </a:defRPr>
            </a:pPr>
            <a:endParaRPr lang="ru-RU"/>
          </a:p>
        </c:txPr>
        <c:crossAx val="157442816"/>
        <c:crosses val="autoZero"/>
        <c:auto val="1"/>
        <c:lblAlgn val="ctr"/>
        <c:lblOffset val="100"/>
        <c:noMultiLvlLbl val="0"/>
      </c:catAx>
      <c:valAx>
        <c:axId val="157442816"/>
        <c:scaling>
          <c:orientation val="minMax"/>
        </c:scaling>
        <c:delete val="1"/>
        <c:axPos val="l"/>
        <c:numFmt formatCode="General" sourceLinked="1"/>
        <c:majorTickMark val="out"/>
        <c:minorTickMark val="none"/>
        <c:tickLblPos val="nextTo"/>
        <c:crossAx val="157424640"/>
        <c:crosses val="autoZero"/>
        <c:crossBetween val="between"/>
      </c:valAx>
      <c:spPr>
        <a:noFill/>
        <a:ln w="24228">
          <a:noFill/>
        </a:ln>
      </c:spPr>
    </c:plotArea>
    <c:legend>
      <c:legendPos val="r"/>
      <c:layout>
        <c:manualLayout>
          <c:xMode val="edge"/>
          <c:yMode val="edge"/>
          <c:x val="0.10735581637201011"/>
          <c:y val="4.1666468428606544E-2"/>
          <c:w val="0.77932392413212492"/>
          <c:h val="6.2499861233357913E-2"/>
        </c:manualLayout>
      </c:layout>
      <c:overlay val="0"/>
      <c:spPr>
        <a:noFill/>
        <a:ln w="24228">
          <a:noFill/>
        </a:ln>
      </c:spPr>
      <c:txPr>
        <a:bodyPr/>
        <a:lstStyle/>
        <a:p>
          <a:pPr>
            <a:defRPr sz="878" b="0" i="0" u="none" strike="noStrike" baseline="0">
              <a:solidFill>
                <a:srgbClr val="333333"/>
              </a:solidFill>
              <a:latin typeface="Times New Roman"/>
              <a:ea typeface="Times New Roman"/>
              <a:cs typeface="Times New Roman"/>
            </a:defRPr>
          </a:pPr>
          <a:endParaRPr lang="ru-RU"/>
        </a:p>
      </c:txPr>
    </c:legend>
    <c:plotVisOnly val="1"/>
    <c:dispBlanksAs val="gap"/>
    <c:showDLblsOverMax val="0"/>
  </c:chart>
  <c:spPr>
    <a:solidFill>
      <a:schemeClr val="bg1"/>
    </a:solidFill>
    <a:ln w="9086" cap="flat" cmpd="sng" algn="ctr">
      <a:solidFill>
        <a:schemeClr val="tx1">
          <a:lumMod val="15000"/>
          <a:lumOff val="85000"/>
        </a:schemeClr>
      </a:solidFill>
      <a:round/>
    </a:ln>
    <a:effectLst/>
  </c:spPr>
  <c:txPr>
    <a:bodyPr/>
    <a:lstStyle/>
    <a:p>
      <a:pPr>
        <a:defRPr sz="954" b="0" i="0" u="none" strike="noStrike" baseline="0">
          <a:solidFill>
            <a:srgbClr val="000000"/>
          </a:solidFill>
          <a:latin typeface="Times New Roman"/>
          <a:ea typeface="Times New Roman"/>
          <a:cs typeface="Times New Roman"/>
        </a:defRPr>
      </a:pPr>
      <a:endParaRPr lang="ru-RU"/>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2.7110289587184228E-2"/>
          <c:y val="0.13352406196718042"/>
          <c:w val="0.9457794208256316"/>
          <c:h val="0.78226656269112416"/>
        </c:manualLayout>
      </c:layout>
      <c:barChart>
        <c:barDir val="col"/>
        <c:grouping val="clustered"/>
        <c:varyColors val="0"/>
        <c:ser>
          <c:idx val="0"/>
          <c:order val="0"/>
          <c:tx>
            <c:strRef>
              <c:f>Лист1!$A$4</c:f>
              <c:strCache>
                <c:ptCount val="1"/>
                <c:pt idx="0">
                  <c:v>Липецкая обл.</c:v>
                </c:pt>
              </c:strCache>
            </c:strRef>
          </c:tx>
          <c:spPr>
            <a:solidFill>
              <a:srgbClr val="418BCF"/>
            </a:solidFill>
            <a:ln w="25400">
              <a:noFill/>
            </a:ln>
          </c:spPr>
          <c:invertIfNegative val="0"/>
          <c:dLbls>
            <c:spPr>
              <a:noFill/>
              <a:ln w="25400">
                <a:noFill/>
              </a:ln>
            </c:spPr>
            <c:txPr>
              <a:bodyPr/>
              <a:lstStyle/>
              <a:p>
                <a:pPr>
                  <a:defRPr sz="1000" b="0" i="0" u="none" strike="noStrike" baseline="0">
                    <a:solidFill>
                      <a:srgbClr val="333333"/>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Лист1!$B$3:$D$3</c:f>
              <c:strCache>
                <c:ptCount val="3"/>
                <c:pt idx="0">
                  <c:v>2018 г.</c:v>
                </c:pt>
                <c:pt idx="1">
                  <c:v>2019 г.</c:v>
                </c:pt>
                <c:pt idx="2">
                  <c:v>2020 г.</c:v>
                </c:pt>
              </c:strCache>
            </c:strRef>
          </c:cat>
          <c:val>
            <c:numRef>
              <c:f>Лист1!$B$4:$D$4</c:f>
              <c:numCache>
                <c:formatCode>General</c:formatCode>
                <c:ptCount val="3"/>
                <c:pt idx="0">
                  <c:v>3.6</c:v>
                </c:pt>
                <c:pt idx="1">
                  <c:v>2.9</c:v>
                </c:pt>
                <c:pt idx="2">
                  <c:v>3.7</c:v>
                </c:pt>
              </c:numCache>
            </c:numRef>
          </c:val>
        </c:ser>
        <c:ser>
          <c:idx val="1"/>
          <c:order val="1"/>
          <c:tx>
            <c:strRef>
              <c:f>Лист1!$A$5</c:f>
              <c:strCache>
                <c:ptCount val="1"/>
                <c:pt idx="0">
                  <c:v>Центральный ФО</c:v>
                </c:pt>
              </c:strCache>
            </c:strRef>
          </c:tx>
          <c:spPr>
            <a:solidFill>
              <a:srgbClr val="CA5252"/>
            </a:solidFill>
            <a:ln w="25400">
              <a:noFill/>
            </a:ln>
          </c:spPr>
          <c:invertIfNegative val="0"/>
          <c:dLbls>
            <c:spPr>
              <a:noFill/>
              <a:ln w="25400">
                <a:noFill/>
              </a:ln>
            </c:spPr>
            <c:txPr>
              <a:bodyPr/>
              <a:lstStyle/>
              <a:p>
                <a:pPr>
                  <a:defRPr sz="1000" b="0" i="0" u="none" strike="noStrike" baseline="0">
                    <a:solidFill>
                      <a:srgbClr val="333333"/>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Лист1!$B$3:$D$3</c:f>
              <c:strCache>
                <c:ptCount val="3"/>
                <c:pt idx="0">
                  <c:v>2018 г.</c:v>
                </c:pt>
                <c:pt idx="1">
                  <c:v>2019 г.</c:v>
                </c:pt>
                <c:pt idx="2">
                  <c:v>2020 г.</c:v>
                </c:pt>
              </c:strCache>
            </c:strRef>
          </c:cat>
          <c:val>
            <c:numRef>
              <c:f>Лист1!$B$5:$D$5</c:f>
              <c:numCache>
                <c:formatCode>General</c:formatCode>
                <c:ptCount val="3"/>
                <c:pt idx="0">
                  <c:v>4.7</c:v>
                </c:pt>
                <c:pt idx="1">
                  <c:v>4.4000000000000004</c:v>
                </c:pt>
                <c:pt idx="2">
                  <c:v>3.8</c:v>
                </c:pt>
              </c:numCache>
            </c:numRef>
          </c:val>
        </c:ser>
        <c:ser>
          <c:idx val="2"/>
          <c:order val="2"/>
          <c:tx>
            <c:strRef>
              <c:f>Лист1!$A$6</c:f>
              <c:strCache>
                <c:ptCount val="1"/>
                <c:pt idx="0">
                  <c:v>Российская Федерация</c:v>
                </c:pt>
              </c:strCache>
            </c:strRef>
          </c:tx>
          <c:spPr>
            <a:solidFill>
              <a:srgbClr val="ADDB7B"/>
            </a:solidFill>
            <a:ln w="25400">
              <a:noFill/>
            </a:ln>
          </c:spPr>
          <c:invertIfNegative val="0"/>
          <c:dLbls>
            <c:spPr>
              <a:noFill/>
              <a:ln w="25400">
                <a:noFill/>
              </a:ln>
            </c:spPr>
            <c:txPr>
              <a:bodyPr/>
              <a:lstStyle/>
              <a:p>
                <a:pPr>
                  <a:defRPr sz="1000" b="0" i="0" u="none" strike="noStrike" baseline="0">
                    <a:solidFill>
                      <a:srgbClr val="333333"/>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Лист1!$B$3:$D$3</c:f>
              <c:strCache>
                <c:ptCount val="3"/>
                <c:pt idx="0">
                  <c:v>2018 г.</c:v>
                </c:pt>
                <c:pt idx="1">
                  <c:v>2019 г.</c:v>
                </c:pt>
                <c:pt idx="2">
                  <c:v>2020 г.</c:v>
                </c:pt>
              </c:strCache>
            </c:strRef>
          </c:cat>
          <c:val>
            <c:numRef>
              <c:f>Лист1!$B$6:$D$6</c:f>
              <c:numCache>
                <c:formatCode>General</c:formatCode>
                <c:ptCount val="3"/>
                <c:pt idx="0">
                  <c:v>5.0999999999999996</c:v>
                </c:pt>
                <c:pt idx="1">
                  <c:v>4.9000000000000004</c:v>
                </c:pt>
                <c:pt idx="2">
                  <c:v>4.5</c:v>
                </c:pt>
              </c:numCache>
            </c:numRef>
          </c:val>
        </c:ser>
        <c:dLbls>
          <c:showLegendKey val="0"/>
          <c:showVal val="0"/>
          <c:showCatName val="0"/>
          <c:showSerName val="0"/>
          <c:showPercent val="0"/>
          <c:showBubbleSize val="0"/>
        </c:dLbls>
        <c:gapWidth val="219"/>
        <c:overlap val="-27"/>
        <c:axId val="167377920"/>
        <c:axId val="157381376"/>
      </c:barChart>
      <c:catAx>
        <c:axId val="16737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Times New Roman"/>
                <a:ea typeface="Times New Roman"/>
                <a:cs typeface="Times New Roman"/>
              </a:defRPr>
            </a:pPr>
            <a:endParaRPr lang="ru-RU"/>
          </a:p>
        </c:txPr>
        <c:crossAx val="157381376"/>
        <c:crosses val="autoZero"/>
        <c:auto val="1"/>
        <c:lblAlgn val="ctr"/>
        <c:lblOffset val="100"/>
        <c:noMultiLvlLbl val="0"/>
      </c:catAx>
      <c:valAx>
        <c:axId val="157381376"/>
        <c:scaling>
          <c:orientation val="minMax"/>
        </c:scaling>
        <c:delete val="1"/>
        <c:axPos val="l"/>
        <c:numFmt formatCode="General" sourceLinked="1"/>
        <c:majorTickMark val="out"/>
        <c:minorTickMark val="none"/>
        <c:tickLblPos val="nextTo"/>
        <c:crossAx val="167377920"/>
        <c:crosses val="autoZero"/>
        <c:crossBetween val="between"/>
      </c:valAx>
      <c:spPr>
        <a:noFill/>
        <a:ln w="25400">
          <a:noFill/>
        </a:ln>
      </c:spPr>
    </c:plotArea>
    <c:legend>
      <c:legendPos val="r"/>
      <c:layout>
        <c:manualLayout>
          <c:xMode val="edge"/>
          <c:yMode val="edge"/>
          <c:x val="0.10769831129599367"/>
          <c:y val="4.4776109934898618E-2"/>
          <c:w val="0.77981657009854888"/>
          <c:h val="6.2686363600320372E-2"/>
        </c:manualLayout>
      </c:layout>
      <c:overlay val="0"/>
      <c:spPr>
        <a:noFill/>
        <a:ln w="25400">
          <a:noFill/>
        </a:ln>
      </c:spPr>
      <c:txPr>
        <a:bodyPr/>
        <a:lstStyle/>
        <a:p>
          <a:pPr>
            <a:defRPr sz="920" b="0" i="0" u="none" strike="noStrike" baseline="0">
              <a:solidFill>
                <a:srgbClr val="333333"/>
              </a:solidFill>
              <a:latin typeface="Times New Roman"/>
              <a:ea typeface="Times New Roman"/>
              <a:cs typeface="Times New Roman"/>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Times New Roman"/>
          <a:ea typeface="Times New Roman"/>
          <a:cs typeface="Times New Roman"/>
        </a:defRPr>
      </a:pPr>
      <a:endParaRPr lang="ru-RU"/>
    </a:p>
  </c:txPr>
</c:chartSpace>
</file>

<file path=word/drawings/_rels/drawing1.xml.rels><?xml version="1.0" encoding="UTF-8" standalone="yes"?>
<Relationships xmlns="http://schemas.openxmlformats.org/package/2006/relationships"><Relationship Id="rId1" Type="http://schemas.openxmlformats.org/officeDocument/2006/relationships/chart" Target="../charts/chart9.xml"/></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graphicFrame macro="">
      <cdr:nvGraphicFramePr>
        <cdr:cNvPr id="2058" name="Chart 10"/>
        <cdr:cNvGraphicFramePr>
          <a:graphicFrameLocks xmlns:a="http://schemas.openxmlformats.org/drawingml/2006/main"/>
        </cdr:cNvGraphicFramePr>
      </cdr:nvGraphicFramePr>
      <cdr:xfrm>
        <a:off xmlns:a="http://schemas.openxmlformats.org/drawingml/2006/main" x="0" y="0"/>
        <a:ext xmlns:a="http://schemas.openxmlformats.org/drawingml/2006/main" cx="0" cy="0"/>
      </cdr:xfrm>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cdr:graphicFrame>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130</TotalTime>
  <Pages>1</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Манелис</cp:lastModifiedBy>
  <cp:revision>21</cp:revision>
  <cp:lastPrinted>2014-12-31T07:54:00Z</cp:lastPrinted>
  <dcterms:created xsi:type="dcterms:W3CDTF">2014-12-31T05:53:00Z</dcterms:created>
  <dcterms:modified xsi:type="dcterms:W3CDTF">2021-04-08T08:10:00Z</dcterms:modified>
</cp:coreProperties>
</file>