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8192" behindDoc="1" locked="0" layoutInCell="1" allowOverlap="1">
                <wp:simplePos x="0" y="0"/>
                <wp:positionH relativeFrom="column">
                  <wp:posOffset>-595290</wp:posOffset>
                </wp:positionH>
                <wp:positionV relativeFrom="paragraph">
                  <wp:posOffset>-525329</wp:posOffset>
                </wp:positionV>
                <wp:extent cx="7315200" cy="10345025"/>
                <wp:effectExtent l="0" t="0" r="0" b="0"/>
                <wp:wrapNone/>
                <wp:docPr id="1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70757493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 flipH="0" flipV="0">
                          <a:off x="0" y="0"/>
                          <a:ext cx="7315200" cy="103450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1pt;mso-wrap-distance-top:0.0pt;mso-wrap-distance-right:9.1pt;mso-wrap-distance-bottom:0.0pt;z-index:-8192;o:allowoverlap:true;o:allowincell:true;mso-position-horizontal-relative:text;margin-left:-46.9pt;mso-position-horizontal:absolute;mso-position-vertical-relative:text;margin-top:-41.4pt;mso-position-vertical:absolute;width:576.0pt;height:814.6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highlight w:val="whit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СОДЕРЖАНИЕ</w:t>
      </w:r>
      <w:r>
        <w:rPr>
          <w:highlight w:val="white"/>
        </w:rPr>
      </w:r>
      <w:r/>
    </w:p>
    <w:p>
      <w:pPr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tbl>
      <w:tblPr>
        <w:tblW w:w="101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8164"/>
        <w:gridCol w:w="671"/>
      </w:tblGrid>
      <w:tr>
        <w:trPr>
          <w:trHeight w:val="303"/>
        </w:trPr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b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highlight w:val="white"/>
              </w:rPr>
              <w:t xml:space="preserve">1.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highlight w:val="white"/>
              </w:rPr>
              <w:t xml:space="preserve">Общие положения…………………………………………………...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7</w:t>
            </w:r>
            <w:r>
              <w:rPr>
                <w:highlight w:val="white"/>
              </w:rPr>
            </w:r>
            <w:r/>
          </w:p>
        </w:tc>
      </w:tr>
      <w:tr>
        <w:trPr>
          <w:trHeight w:val="251"/>
        </w:trPr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1.1.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Представители сторон, заключивших тарифное соглашение……... 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7</w:t>
            </w:r>
            <w:r>
              <w:rPr>
                <w:highlight w:val="white"/>
              </w:rPr>
            </w:r>
            <w:r/>
          </w:p>
        </w:tc>
      </w:tr>
      <w:tr>
        <w:trPr>
          <w:trHeight w:val="355"/>
        </w:trPr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1.2.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Предмет тарифного соглашения……………………………………..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7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1"/>
        </w:trPr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1.3.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Нормативные документы…………………………………………….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8</w:t>
            </w:r>
            <w:r>
              <w:rPr>
                <w:highlight w:val="white"/>
              </w:rPr>
            </w:r>
            <w:r/>
          </w:p>
        </w:tc>
      </w:tr>
      <w:tr>
        <w:trPr>
          <w:trHeight w:val="351"/>
        </w:trPr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1.4.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Основные понятия и определения…………………………………...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9</w:t>
            </w:r>
            <w:r>
              <w:rPr>
                <w:highlight w:val="white"/>
              </w:rPr>
            </w:r>
            <w:r/>
          </w:p>
        </w:tc>
      </w:tr>
      <w:tr>
        <w:trPr>
          <w:trHeight w:val="271"/>
        </w:trPr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b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highlight w:val="white"/>
              </w:rPr>
              <w:t xml:space="preserve">2.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highlight w:val="white"/>
              </w:rPr>
              <w:t xml:space="preserve">Способы оплаты медицинской помощи………………………….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11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2.1.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Общие положения…………………………………………………….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11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2.2.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Оплата медицинской помощи, оказанной в амбулаторных условиях……………………………………………………………….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2.2.1.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Порядок оплаты амбулаторной медицинской помощи…………….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15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2.2.1.1.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Порядок оплаты  м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едицинской помощи (медицинских услуг), оказанной в медицинских организациях, имеющих прикрепившихся лиц, оплата медицинской помощи в которых осуществляется по подушевому нормативу финансирования на прикрепившихся лиц, с учетом показателей результативности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оплачиваемую за единицу объема медицинской помощи………………………………………………...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19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2.2.1.2.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2.2.1.3.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2.2.1.4.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2.2.1.5.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2.2.1.6.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2.2.1.7.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2.2.1.8.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2.2.1.9.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2.2.1.10.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2.2.1.11.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2.2.1.12.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2.2.1.13.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2.2.1.14.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2.2.1.15.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2.2.1.16.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Порядок оплаты  медицинской помощи (медицинских услуг), оказанной в поликлиниках МО (структурных подразделениях МО), не имеющих прикрепившихся лиц …………….……………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Порядок оплаты отдельных диагностических (лабораторных) исследований (компьютерной томографии, ма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гнитно-резонансной томографии, ультразвукового исследования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сердечно-сосудистой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 с целью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диагностики онкологических заболеваний и подбора противоопухолевой лекарственной терапии, тестирования на выявление новой коронавирусной инфекции (COVID-19))……………………………………………….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Порядок финансирования фельдшерских, и фельдшерско-акушерских пунктов…………………………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……………………….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Порядок оплаты медицинской помощи, оказанной в центрах здоровья………………………………………………………………..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Порядок оплаты  медицинских услуг по проведению диспансеризации определенных гру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пп взр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ослого населения……..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Порядок оплаты профилактических медицинских осмо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тров……...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Порядок оплаты  медицинских услуг по проведению углубленной диспансеризации граждан, переболевших новой коронавирусной инфекцией (covid-19)…………………………………………………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Порядок оплаты диспансеризации пребывающих в стационарных учреждениях детей-сирот и дет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ей, находящихся в трудной жизненной ситуации………………………………………………….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Порядок оплаты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семью…………………………………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Порядок оплаты профилактических медицинских осмотров несовершеннолетних…………………………………………………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Оплата диализа в амбулаторных условиях……………………….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Оплата за проведение позитронной эмиссионной томографии, совмещенной с компьютерной томографией…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……………………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Оплата за проведение медицинской реабилитации в амбулаторных условиях………………………………………………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Оплата за проведение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диспансерного наблюдения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………………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Оплата за проведение школы сахарного диабета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…………………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22</w:t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22</w:t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23</w:t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24</w:t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26</w:t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27</w:t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28</w:t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30</w:t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31</w:t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31</w:t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32</w:t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32</w:t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32</w:t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33</w:t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33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2.3.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Оплата медицинской помощи, оказанной в круглосуточных стационарах………………………………………...………………...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2.3.1.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Порядок оплаты медицинской помощи, оказанной в круглосуточных стационарах ………………………………………..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34</w:t>
            </w:r>
            <w:r>
              <w:rPr>
                <w:highlight w:val="white"/>
              </w:rPr>
            </w:r>
            <w:r/>
          </w:p>
        </w:tc>
      </w:tr>
      <w:tr>
        <w:trPr>
          <w:trHeight w:val="473"/>
        </w:trPr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2.4.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Оплата медицинской помощи, оказанной в дневных  стационарах……………………………………………………………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37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2.4.1.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Порядок оплаты медицинской помощи, оказанной в дневных стационарах……………………………………………………………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37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2.5.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Оплата скорой медицинской помощи………………………...……..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39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2.5.1.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Порядок оплаты медицинских услуг скорой медицинской помощи………………………………………………………………..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40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b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highlight w:val="white"/>
              </w:rPr>
              <w:t xml:space="preserve">3.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highlight w:val="white"/>
              </w:rPr>
              <w:t xml:space="preserve">Тарифы на оплату медицинской помощи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42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Тарифы на оплату амбулаторной медицинской помощи…………. 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42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3.1.1.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Размер среднего подушевого норматива финансирования в амбулаторных условиях ……………………………………………...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44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ind w:right="-108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3.1.2.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Размер базового подушевого норматива финансирования медицинских организаций……………………………………………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44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3.1.3.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Половозрастные коэффициенты дифференциации подушевого норматива для медицинских организаций ………………………….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44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3.1.4.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Пере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чень показателей результативности деятельности медицинских организаций, применяемых при осуществлении выплат медицинским организациям, имеющим прикрепившихся лиц, критерии их оценки, размер и порядок осуществления выплат за их выполнение……………………………………………..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44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3.1.5.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Тарифы на оплату единиц объема медицинской помощи…………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54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3.1.5.1.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Тарифы на оплату посещений, обращений………………………….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54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3.1.5.2.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Тарифы по стоматологии……………………………………………..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55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3.1.5.2.1.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Классификатор основных медицинских услуг по оказанию первичной медико-санитарной специализированной стоматологической помощи, оказанной в амбулаторных условиях.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55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3.1.5.3.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Тарифы на отдельные медицинские услуги………………………...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56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3.1.5.3.1.  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Тарифы на отдельные медицинские услуги, применяемые при оплате амбулаторной медицинской помощи, в том числе для проведения межучрежденческих расчетов  ……………………..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56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3.1.5.3.2.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Тарифы на м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едицинские услуги, финансирование которых осуществляется в соответствии с нормативами финансовых затрат на единицу объема медицинской помощи, установленными Территориальной программой ОМС из средств, не входящих в расчет подушевых нормативов…………………………………….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56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3.1.5.3.3.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Тарифы на медицинские услуги по проведению диспансеризации определенных гру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пп взр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ослого населения …………………………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56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3.1.5.3.4.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Тарифы на медицинские услуги по проведению углубленной диспансеризации определенных гру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пп взр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ослого населения гражданам, переболевшим новой коронавирусной инфекцией (COVID-19)……………………………………………………………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56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3.1.5.3.5.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Тарифы на  медицинские услуги по проведению диспансеризации пребывающих в стационарных учреждениях детей-сирот и детей, находящихся в трудной жизненной ситуации ……………………..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56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3.1.5.3.6.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Тарифы на медицинские услуги  по проведению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семью….………    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56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3.1.5.3.7.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Тарифы на медицинские услуги по проведению профилактических медицинских осмотров несовершеннолетним  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56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3.1.5.3.8.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Тарифы на  медицинские услуги по проведению профилактических медицинских осмотров…………………………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56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3.1.5.3.9.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Тарифы на  медицинские услуги, оказываемые в центрах здоровья ………………………………………………………………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56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3.1.6.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Базовые нормативы финансовых затрат на финансовое обеспечение структурных подразделений медицинских организаций …………………………………………………………..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56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3.2.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Тарифы на оплату медицинской помощи, оказанной в круглосуточных стационарах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……………………..…..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57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3.2.1.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Средний размер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финансового обеспечения стационарной медицинской помощи, определенный на основе нормативов объемов медицинской помощи и финансовых затрат на единицу объема медицинской помощи в круглосуточных стационарах, установленных Территориальной программой ОМС………………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57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3.2.2.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Перечень клинико-статистических групп (КСГ) с указанием коэффициентов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относительной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затратоемкости КСГ………………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57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3.2.3.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Размер средней стоимости законченного случая лечения, включенного в КСГ…………………………………………………...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57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3.2.4.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Поправочные коэффициенты оплаты КСГ………………………….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57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3.2.4.1.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Коэффициенты подуровня оказания медицинской помощи в круглосуточных стационарах………………………………………...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57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3.2.4.2.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Коэффициенты сложности лечения пациента (КСЛП) в круглосуточном стационаре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………………………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………………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60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3.2.4.3.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Коэффициенты специфики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………………………………………...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62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3.2.4.4.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Коэффициент приведения среднего норматива финансовых затрат на 1 случай лечения в круглосуточном стационаре к базовой ставке…………………………………………………………………..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63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3.2.5.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Расчет стоимости 1 случая лечения заболевания в круглосуточном стационаре………………………………………….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63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3.2.6.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Тарифы на оплату законченных случаев лечения заболеваний в стационарных условиях с применением методов высокотехнологичной медицинской помощи ………………….......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67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3.2.7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Тариф 1 услуги по проведению гемодиализа ……………….……...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69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3.2.8.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Порядок оплаты прерванных случаев оказания медицинской помощи………………………………………………………………...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70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3.3.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Тарифы на оплату медицинской помощи, оказанной в дневных стационарах ………………………………….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79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3.3.1.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Средний размер фи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нансового обеспечения медицинской помощи по дневным стационарам, определенный на основе нормативов объемов медицинской помощи и финансовых затрат на единицу объема медицинской помощи в дневных стационарах, установленных Территориальной программой ОМС………………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79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3.3.2.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Перечень клинико-статистических групп (КСГ) с указанием коэффициентов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относительной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затратоемкости КСГ………………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79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3.3.3.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Размер средней стоимости законченного случая лечения, включенного в КСГ…………………………………………………...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79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3.3.4.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Поправочные коэффициенты оплаты КСГ………………………….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79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3.3.4.1.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Коэффициенты подуровня оказания медицинской помощи в дневных стационарах…………………………………………………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79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3.3.4.2.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Коэффициенты специфики…………………………………………...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80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3.3.4.3.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Коэффициент приведения среднего норматива финансовых затрат на 1 случай лечения в дневном стационаре к базовой ставке……..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80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3.3.4.4.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3.3.5.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Коэффициенты сложности лечения пациента (КСЛП) в дневном стационаре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Расчет стоимости 1 случая лечения в дневном стационаре……….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80</w:t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80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3.3.6.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Порядок оплаты прерванных случаев оказания медицинской помощи………………………………………………………………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84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3.4.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Тарифы на оплату скорой медицинской помощи ………………….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90</w:t>
            </w:r>
            <w:r>
              <w:rPr>
                <w:highlight w:val="white"/>
              </w:rPr>
            </w:r>
            <w:r/>
          </w:p>
        </w:tc>
      </w:tr>
      <w:tr>
        <w:trPr>
          <w:trHeight w:val="559"/>
        </w:trPr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3.4.1.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Размер 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среднего подушевого норматива финансирования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скорой медицинской помощи ………………………………………………..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90</w:t>
            </w:r>
            <w:r>
              <w:rPr>
                <w:highlight w:val="white"/>
              </w:rPr>
            </w:r>
            <w:r/>
          </w:p>
        </w:tc>
      </w:tr>
      <w:tr>
        <w:trPr>
          <w:trHeight w:val="619"/>
        </w:trPr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3.4.2.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vAlign w:val="center"/>
            <w:textDirection w:val="lrTb"/>
            <w:noWrap w:val="false"/>
          </w:tcPr>
          <w:p>
            <w:pPr>
              <w:jc w:val="both"/>
              <w:spacing w:after="200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Размер базового подушевого норматива финансирования скорой медицинской помощи ………………………………………………..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90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3.4.3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Половозрастные коэффициенты дифференциации подушевого норматива финансирования скорой медицинской помощи………..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90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3.4.4.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Тарифы на вызов скорой медицинской помощи………………….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90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b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highlight w:val="white"/>
              </w:rPr>
              <w:t xml:space="preserve">4.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highlight w:val="white"/>
              </w:rPr>
              <w:t xml:space="preserve">Размер неоплаты или неполной оплаты затрат на ока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highlight w:val="white"/>
              </w:rPr>
              <w:t xml:space="preserve">зание медицинской помощи в рамках территориальной программы обязательного медицинского страхования, а также уплаты медицинской организацией штрафов за неоказание, несвоевременное оказание либо оказание медицинской помощи ненадлежащего качества…………………………………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91</w:t>
            </w:r>
            <w:r>
              <w:rPr>
                <w:highlight w:val="white"/>
              </w:rPr>
            </w:r>
            <w:r/>
          </w:p>
        </w:tc>
      </w:tr>
      <w:tr>
        <w:trPr>
          <w:trHeight w:val="222"/>
        </w:trPr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b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highlight w:val="white"/>
              </w:rPr>
              <w:t xml:space="preserve">5.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highlight w:val="white"/>
              </w:rPr>
              <w:t xml:space="preserve">Заключительные положения………………………………………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107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5.1.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Срок действия Тарифного соглашения……………………………...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107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5.2.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Порядок изменения Тарифного соглашения……………………......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107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1"/>
        </w:trPr>
        <w:tc>
          <w:tcPr>
            <w:tcW w:w="13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5.3.-5.6.</w:t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Прочие положения……………………………………………………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107</w:t>
            </w:r>
            <w:r>
              <w:rPr>
                <w:highlight w:val="white"/>
              </w:rPr>
            </w:r>
            <w:r/>
          </w:p>
        </w:tc>
      </w:tr>
      <w:tr>
        <w:trPr>
          <w:trHeight w:val="340"/>
        </w:trPr>
        <w:tc>
          <w:tcPr>
            <w:tcW w:w="133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8164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Перечень приложений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………………………………………………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/>
          </w:p>
        </w:tc>
        <w:tc>
          <w:tcPr>
            <w:tcW w:w="67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108</w:t>
            </w:r>
            <w:r>
              <w:rPr>
                <w:highlight w:val="white"/>
              </w:rPr>
            </w:r>
            <w:r/>
          </w:p>
        </w:tc>
      </w:tr>
    </w:tbl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720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numPr>
          <w:ilvl w:val="0"/>
          <w:numId w:val="2"/>
        </w:num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Общие положения</w:t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pStyle w:val="1040"/>
        <w:numPr>
          <w:ilvl w:val="1"/>
          <w:numId w:val="6"/>
        </w:num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Представители сторон, заключивших Тарифное соглашение</w:t>
      </w:r>
      <w:r>
        <w:rPr>
          <w:highlight w:val="white"/>
        </w:rPr>
      </w:r>
      <w:r/>
    </w:p>
    <w:p>
      <w:pPr>
        <w:ind w:left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Управление здравоохранения Липецкой области в лице начальника управления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Шуршукова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Юрия Юрьевича, действующего на основании Положения, именуемое в дальнейшем «Управление», 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Территориальный фонд обязательного медицинского страхования Липецкой области в лице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заместителя директора – начальника финансово-экономического управления фонда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Перфиловой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Ольги Васильевны, действующей на основании Положения, именуемый в дальнейшем «ТФОМС Липецкой области», 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Страховые медицинские организации  в лице директора Липецкого ф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илиала АО «Страховая компании «СОГАЗ-Мед»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Неугодова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Александра Сергеевича, действующего на основании доверенности, именуемые в дальнейшем «Страховщики»,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Липецкая областная общественная организация «Ассоциация медицинских работников» в лице председателя асс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оциации Шинкарева Сергея Алексеевича, действующего на основании Устава,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Липецкая областная организация профсоюза работников здравоохранения РФ в лице председателя Зубовой Натальи Юрьевны, действующей на основании Устава, именуемая в дальнейшем «Профсоюз», 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далее все вместе именуемые «Стороны» в соответствии со статьей 30 Федерального закона от 29.11.2010 № 326-ФЗ «Об обязательном медицинском страховании в Российской Федерации», Правилами обязательного медицинского страхования, утвержденными приказом Министе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рства здравоохранения Российской Федерации от 28.02.2019 № 108н, приказом Министерства здравоохранения Российской Федерации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«Об утверждении Требований к структуре и содержанию тарифного соглашения» заключили настоящее Тарифное соглаше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ние на оплату медицинской помощи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по обязательному медицинскому страхованию на территории Липецкой области на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2023 г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од (далее – Тарифное соглашение) о нижеследующем.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1.2.  Предмет Тарифного соглашения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Тарифное соглашение устанавливает способы оплаты медицинской помощи, применяемые в системе обязательного медицинского страхования на территории Липецкой области, размер и структуру тарифов на оплату медицинской помощи, размер неоплаты или неполной оплаты з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качества,</w:t>
      </w:r>
      <w:r>
        <w:rPr>
          <w:rFonts w:ascii="Times New Roman" w:hAnsi="Times New Roman" w:cs="Times New Roman" w:eastAsia="Times New Roman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порядок взаимодействия участников обязательного медицинского страхования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на территории Липецкой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области при оплате медицинской помощи.</w:t>
      </w:r>
      <w:r>
        <w:rPr>
          <w:highlight w:val="white"/>
        </w:rPr>
      </w:r>
      <w:r/>
    </w:p>
    <w:p>
      <w:pPr>
        <w:ind w:firstLine="708"/>
        <w:jc w:val="both"/>
        <w:spacing w:after="36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Тарифное соглашение устанавливает общие методические принципы оплаты медицинской помощи (медицинских услуг) в рамках Территориальной программы обязательного медицинского страхования Липецкой обл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асти.</w:t>
      </w:r>
      <w:r>
        <w:rPr>
          <w:highlight w:val="white"/>
        </w:rPr>
      </w:r>
      <w:r/>
    </w:p>
    <w:p>
      <w:pPr>
        <w:ind w:firstLine="709"/>
        <w:jc w:val="both"/>
        <w:rPr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Действие Тарифного соглашения распространяется на медицинские организации, функционирующие в системе обязательного медицинского страхования, в соответствии с Программой государственных гарантий бесплатного оказания гражданам на территории Липецкой об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ласти бесплатной медицинской помощи на 2023 год и на плановый период 2024 и 2025 годов.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/>
    </w:p>
    <w:p>
      <w:pPr>
        <w:ind w:firstLine="72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1.3.  Нормативные документы</w:t>
      </w:r>
      <w:r>
        <w:rPr>
          <w:highlight w:val="white"/>
        </w:rPr>
      </w:r>
      <w:r/>
    </w:p>
    <w:p>
      <w:pPr>
        <w:ind w:firstLine="72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Тарифное соглашение разработано на основании: 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Федерального закона от 21.11.2011 № 323-ФЗ «Об основах охраны здоровья граждан в Российской Федерации» (с изменениями на 28.12.2022);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Федерального закона от 29.11.2010 № 326-ФЗ «Об обязательном медицинском страховании в Российской Федерации» (далее – Ф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едеральный закон) (с изменениями на 19.12.2022);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Федерального закона от 27.07.2006 № 152-ФЗ «О персональных данных» (с изменениями на 14.07.2022);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Постановления Правительства Российской Федерации от 29.12.2022 №  2497 «О Программе государственных гаран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тий бесплатного оказания гражданам медицинской помощи на 2023 год и на плановый период 2024 и 2025 годов»;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Постановления Правительства РФ от 05.11.2022 № 1998 «Об утвержден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ии Правил ведения персонифицированного учета в сфере обязательного медицинского страхования»;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Приказа Министерства здравоохранения Российской Федерации от 28.02.2019 № 108н «Об утверждении Правил обязательного медицинского страхования» (с изменениями на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13.12.2022) (далее – Правила 108н);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Приказа Министерства здравоохранения Российской Федерации от </w:t>
      </w:r>
      <w:r>
        <w:rPr>
          <w:rFonts w:ascii="Times New Roman" w:hAnsi="Times New Roman" w:cs="Times New Roman" w:eastAsia="Times New Roman"/>
          <w:color w:val="FF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«Об утверждении Требований к структуре и содержанию тарифного соглашения»;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Приказа Министерства здравоохра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нения Российской Федерации от 19.03.2021 № 231н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 же ее финансового обеспе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чения»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(с изменениями на 21.02.2022);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Постановления Правительства Липецкой области от 30.12.2022 № 380 «Об утверждении Программы государственных гарантий бесплатного оказания гражданам на территории Липецкой области медицинской помощи на 2023 год и на плановый период 2024 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2025 годов»;</w:t>
      </w:r>
      <w:r>
        <w:rPr>
          <w:highlight w:val="white"/>
        </w:rPr>
      </w:r>
      <w:r/>
    </w:p>
    <w:p>
      <w:pPr>
        <w:ind w:right="20" w:firstLine="708"/>
        <w:jc w:val="both"/>
        <w:rPr>
          <w:rFonts w:ascii="arimo" w:hAnsi="arimo" w:cs="arimo" w:eastAsia="arimo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Методических рекомендаций Министерства здравоохранения Российской Федерации и Федерального фонда обязательного медицинского страхования «Методические рекомендации по способам оплаты медицинской помощи за счет средств обязательного медицинск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ого страхования».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1.4.  Основные понятия и определения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 рамках настоящего Тарифного соглашения используются следующие основные понятия и их определения: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Для целей реализации настоящих рекомендаций устанавливаются следующие основные понятия и термины.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ОМС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- обязательное медицинское страхование;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36"/>
          <w:szCs w:val="36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СМО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(страховая медицинская организация) - страховая организация, имеющая лицензию, выданную федеральным органом исполнительной власти, осуществляющим функции по контролю и надзору в сфере страховой деятельности 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включенная в реестр страховых медицинских организаций, осуществляющих деятельность в сфере обязательного медицинского страхования на территории Липецкой области</w:t>
      </w:r>
      <w:r>
        <w:rPr>
          <w:rFonts w:ascii="Times New Roman" w:hAnsi="Times New Roman" w:cs="Times New Roman" w:eastAsia="Times New Roman"/>
          <w:sz w:val="32"/>
          <w:szCs w:val="32"/>
          <w:highlight w:val="white"/>
        </w:rPr>
        <w:t xml:space="preserve">. 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МО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(медицинская организация) - юридическое лицо независимо от организационно-правовой формы, осуществляющее в качестве основного (уставного) вида деятельности медицинскую деятельность на основании лицензии, выданной в порядке, установленном </w:t>
      </w:r>
      <w:hyperlink r:id="rId13" w:tooltip="about:blank" w:history="1">
        <w:r>
          <w:rPr>
            <w:rFonts w:ascii="Times New Roman" w:hAnsi="Times New Roman" w:cs="Times New Roman" w:eastAsia="Times New Roman"/>
            <w:sz w:val="28"/>
            <w:szCs w:val="28"/>
            <w:highlight w:val="white"/>
          </w:rPr>
          <w:t xml:space="preserve">законодательством</w:t>
        </w:r>
      </w:hyperlink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Российской Федерации и включенная в реестр медицинских организаций, осуществляющих деятельность в системе обязательного медицинского страхования Липецкой области; 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Тариф на медицинскую услугу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– денежная сумма,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определяющая уровень возмещения и состав компенсируемых расходов медицинской организации, связанных с оказанием медицинской помощи в рамках Территориальной программы обязательного медицинского страхования;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Условная единица трудоемкости (УЕТ)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– норматив вре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мени, затрачиваемого при оказании стоматологической медицинской помощи на выполнение объема работы врача на терапевтическом, хирургическом приеме,  необходимого для лечения среднего кариеса (I класс по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Блеку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);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Случай госпитализации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- случай лечения в стаци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онарных условиях и (или) условиях дневного стационара, в рамках которого осуществляется ведение одной медицинской карты стационарного больного, являющийся единицей объема медицинской помощи в рамках реализации территориальной программы обязательного медици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нского страхования;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Клинико-статистическая группа заболеваний (КСГ)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-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 и набор используемых ресурсов);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Базовая ставка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- средний объем финансового обеспечения медицинской помощи в расчете на одного пролеченного пациента, определенный исходя из нормативов объемов медицинской помощи и нормативов финансовых затрат на единицу об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ъема медицинской помощи, установленных Программой государственных гарантий бесплатного оказания гражданам на территории Липецкой области медицинской помощи на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2023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год и на плановый период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2024 и 2025 годов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(средняя стоимость законченного случая лечения);</w:t>
      </w:r>
      <w:r>
        <w:rPr>
          <w:highlight w:val="white"/>
        </w:rPr>
      </w:r>
      <w:r/>
    </w:p>
    <w:p>
      <w:pPr>
        <w:ind w:firstLine="709"/>
        <w:jc w:val="both"/>
        <w:tabs>
          <w:tab w:val="left" w:pos="180" w:leader="none"/>
          <w:tab w:val="left" w:pos="360" w:leader="none"/>
          <w:tab w:val="left" w:pos="720" w:leader="none"/>
          <w:tab w:val="left" w:pos="1080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Коэффициент относительной затратоемкости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устанавливаемый рекомендациями Минздрава РФ и ФФОМС коэффициент затратоемкости клинико-статистической группы заболеваний, отражающий отношение ее затратоемкости к среднему объему финансового обеспечения медицинско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й помощи в расчете на одного пролеченного пациента (базовой ставке);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b/>
          <w:sz w:val="28"/>
          <w:highlight w:val="white"/>
        </w:rPr>
        <w:t xml:space="preserve">Коэффициент специфики</w:t>
      </w:r>
      <w:r>
        <w:rPr>
          <w:rFonts w:ascii="Times New Roman" w:hAnsi="Times New Roman" w:cs="Times New Roman"/>
          <w:sz w:val="28"/>
          <w:highlight w:val="white"/>
        </w:rPr>
        <w:t xml:space="preserve"> – устанавливаемый на территориальном уровне коэффициент, позволяющий корректировать тариф клинико-статистической группы с целью управления структурой госпитализаций </w:t>
      </w:r>
      <w:r>
        <w:rPr>
          <w:rFonts w:ascii="Times New Roman" w:hAnsi="Times New Roman" w:cs="Times New Roman"/>
          <w:sz w:val="28"/>
          <w:highlight w:val="white"/>
        </w:rPr>
        <w:t xml:space="preserve">и (или) учета региональных особенностей оказания медицинской помощи по конкретной клинико-статистической группе заболеваний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Коэффициент уровня оказания медицинской помощи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- устанавливаемый на территориальном уровне коэффициент, позволяющий учесть различия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 размерах расходов в зависимости от уровня оказания медицинской помощи;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Коэффициент подуровня оказания медицинской помощи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- устанавливаемый на территориальном уровне коэффициент, позволяющий учесть различия в размерах расходов медицинских организаций, от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носящихся к одному уровню оказания медицинской помощи, обусловленный объективными причинами;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Коэффициент сложности лечения пациентов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- устанавливаемый на федеральном уровне коэффициент, применяемый в отдельных случаях в связи со сложностью лечения пациента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, и учитывающий более высокий уровень затрат на оказание медицинской помощи.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2. Способы оплаты медицинской помощи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highlight w:val="white"/>
        </w:rPr>
      </w:r>
      <w:r>
        <w:rPr>
          <w:highlight w:val="white"/>
        </w:rPr>
      </w:r>
      <w:r/>
    </w:p>
    <w:p>
      <w:pP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2.1. Общие положения</w:t>
      </w:r>
      <w:r>
        <w:rPr>
          <w:highlight w:val="white"/>
        </w:rPr>
      </w:r>
      <w:r/>
    </w:p>
    <w:p>
      <w:pPr>
        <w:ind w:firstLine="72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Способы оплаты медицинской помощи в системе обязательного медицинского страхования на территории Липецкой области установлены «Программой государственных гарантий бесплатного оказания гражданам на территории Липецкой области медицинской помощи на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2023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год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 на плановый период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2024 и 2025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годов».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Оплата медицинской помощи (медицинских услуг), оказанных МО, производится СМО и ТФОМС Липецкой области, в порядке, предусмотренном договорами на оказание и оплату медицинской помощи по обязательному медицинском стра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хованию, разработанными в соответствии с Типовым договором на оказание и оплату медицинской помощи по обязательному медицинском страхованию, утвержденным приказом Министерства здравоохранения Российской Фед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ерации от 30.12.2020 № 1417н.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Оплата медицинской п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омощи осуществляется в соответствии с предъявленными МО счетами и реестрами счетов за оказанные медицинские услуги, по тарифам, действующим в системе ОМС на территории Липецкой области на дату окончания оказания медицинской помощи.</w:t>
      </w:r>
      <w:r>
        <w:rPr>
          <w:highlight w:val="white"/>
        </w:rPr>
      </w:r>
      <w:r/>
    </w:p>
    <w:p>
      <w:pPr>
        <w:ind w:right="-58" w:firstLine="708"/>
        <w:jc w:val="both"/>
        <w:spacing w:after="360"/>
        <w:rPr>
          <w:rFonts w:ascii="Times New Roman" w:hAnsi="Times New Roman" w:cs="Times New Roman" w:eastAsia="Times New Roman"/>
          <w:color w:val="C00000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После осуществления оплаты медицинской помощи СМО доводят до сведения каждой МО в письменной форме информацию о сумме окончательного финансирования в разрезе видов медицинской помощи и способов оплаты в сроки согласованные между СМО и МО. 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Показатель объем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 медицинской помощи, предоставляемой в круглосуточном стационаре (в том числе для медицинской реабилитации) выражается в количестве случаев госпитализации  в расчете на 1 пациента в год, в поликлинике - в количестве  посещений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(комплексных посещений)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с пр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офилактическими и иными целями, посещений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 неотложной форме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, обращений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 связи с заболеваниями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,  количестве услуг в расчете на 1 человека в год, в дневных стационарах всех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типов (в том числе для медицинской реабилитации) - в количестве случаев лечения (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сл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учаев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), скорой медицинской помощи - в количестве вызовов в расчете на 1 человека в год.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Объем медицинской помощи определяется в соответствии с территориальной программой ОМС. Объемы и финансовое обеспечение медицинской помощи для каждой МО в расчете на го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 устанавливаются Комиссией по разработке территориальной программы обязательного медицинского страхования.</w:t>
      </w:r>
      <w:r>
        <w:rPr>
          <w:highlight w:val="white"/>
        </w:rPr>
      </w:r>
      <w:r/>
    </w:p>
    <w:p>
      <w:pPr>
        <w:ind w:firstLine="45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СМО и ТФОМС Липецкой области, осуществляя оплату медицинской помощи, вправе, по результатам проведенного контроля объемов и качества медицинской по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мощи, частично или полностью не возмещать затраты МО за оказанную медицинскую помощь (медицинские услуги) путем удержания суммы, не подлежащей оплате, с последующего счета МО, а также применить к МО штрафные санкции.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Способы и формы оплаты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медицинской помощи, не предусмотренные настоящим Тарифным соглашением, в системе ОМС на территории Липецкой области,  не применяются. 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Структура тарифа на оплату медицинской помощи включает в себя расходы на заработную плату, начисления на оплату труда, п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едований, проводимых в других учреждениях (при отсутствии в медицинской организации лаборатории и диагностического оборудования), организацию питания (при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отсутствии организованного питания в медицинской организации), расходы на оплату услуг связи, транспо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ртных услуг, коммунальных услуг, 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до 100 тыс. рублей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за единицу, а также допускается приобретение основных средств (медицинских издел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ий, используемых для проведения медицинских вмешательств, лабораторных и инструментальных исследований) стоимостью до 1 млн. рублей при отсутствии у медицинской организации, не погашенной в течение 3 месяцев кредиторской задолженности за счет средств обяза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тельного медицинского страхования.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Тарифы предусматривают компенсацию расходов по обеспечению деятельности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 медицинской организации в части, относящейся к деятельности по ОМС. В тарифы не включаются расходы медицинской организации, которые в соответствии с территориальной  программой ОМС финансируются за счет средств бюджетов всех уровней или других источников.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Контроль использования средств ОМС СМО и МО осуществляется ТФОМС Липецкой области в соответствии с Федеральным законом РФ от 29.11.2010 № 326-ФЗ «Об обязательном медицинском страховании в Российской Федерации», в том числе путем проведения проверок.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t xml:space="preserve">Использование средств обязательного медицинского страхования медицинскими организациями на финансирование мероприятий, видов м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t xml:space="preserve">едицинской помощи, не включенных в территориальную программу обязательного медицинского страхования, на оплату видов расходов, не включенных в состав  тарифа на оплату медицинской помощи в системе обязательного медицинского страхования, является нецелевым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использованием средств ОМС, в том числе: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- в результате завышения численности застрахованных лиц;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- в результате завышения тарифов медицинской помощи в рамках территориальной программы ОМС;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- в результате включения в реестр счетов и счета на оплату медицинской помощи медицинских услуг, подлежащих оплате за счет иных источников;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- в результате необоснованно запрошенных дополнительных сумм финансирования;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- оплата видов медицинской помощи, не включенных в территориальную программу ОМС;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- оплата расходов, не включенных в тарифы на оплату медицинской помощи в рамках территориальной программы ОМС;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- финансирование структурных подразделений (служб) МО, финансируемых из иных источников;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- расходование сре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дств св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ерх норм, установленных соответствующими министерствами, ведомствами;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- расходование сре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дств пр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и отсутствии подтверждающих документов;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- оплата собственных обязательств (долгов), не связанных с деятельностью по обязательному медицинскому страхованию;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- оплата средств на иные цели, не соответствующие условиям их предоставления.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В случае установления ТФОМС факта нецелевого  использования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с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редств ОМС, возврат средств, использованных не по целевому назначению, уплата  штрафа и пени производится медицинской организацией в  соответствии с требованиями части 9 статьи 39 Федерального закона от 29.11.2010 № 326-ФЗ в бюджет ТФОМС Липецкой области. 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Расходы МО, связанные с возмещением средств,  использованных не по целевому назначению,  оплата штрафа и пени за счет средств  ОМС не  осуществляются.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Самостоятельный возврат СМО или МО до проведения проверки суммы нецелевого использования средств обязательного медицинского страхования, не освобождает ее от уплаты штрафа. Пени в этом случае не начисляются.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Распределение затрат, необходимых для обеспечения деятельности медицинской организации в целом,  необходимо распределять между всеми источниками, </w:t>
      </w: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формирующими доход учреждения от оказания медицинских услуг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 в соответствии с п. 208 раздела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val="en-US" w:eastAsia="ru-RU"/>
        </w:rPr>
        <w:t xml:space="preserve">XII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 Правил 108н, и иным действующим законодательством.</w:t>
      </w:r>
      <w:r>
        <w:rPr>
          <w:highlight w:val="white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Эффективным использованием средс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  <w:lang w:eastAsia="ru-RU"/>
        </w:rPr>
        <w:t xml:space="preserve">тв ОМС является такое их использование медицинскими организациями, которое  обеспечивает достижение заданных результатов с использованием наименьшего объема средств и (или) достижение наилучшего результата с использованием определенного объема средств ОМС.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Тарифы на оплату медицинской помощи по одним и тем же ее видам (одним и тем же медицинским услугам) являются едиными для всех медицинских орг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анизаций, включенных в один уровень оказания медицинской помощи, независимо от организационно-правовой формы.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Распределение медицинских организаций по уровням оказания медицинской помощи осуществляется Управлением здравоохранения Липецкой области. </w:t>
      </w:r>
      <w:r>
        <w:rPr>
          <w:highlight w:val="white"/>
        </w:rPr>
      </w:r>
      <w:r/>
    </w:p>
    <w:p>
      <w:pPr>
        <w:ind w:left="644"/>
        <w:jc w:val="center"/>
        <w:rPr>
          <w:rFonts w:ascii="Times New Roman" w:hAnsi="Times New Roman" w:cs="Times New Roman" w:eastAsia="Times New Roman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4"/>
          <w:szCs w:val="24"/>
          <w:highlight w:val="white"/>
        </w:rPr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Тарифы на оплату медицинской помощи по обязательному медицинскому страхованию формируются в соответствии со способами оплаты медицинской помощи и в части расходов на заработную плату включают финансовое обеспечение денежных выплат стимулирующего характера,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 том числе денежные выплаты: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врачам-терапевтам участковым, врачам-педиатрам участковым, врачам общей практики (семейным врачам), медицинским сестрам участковым врачей-терапевтов участковых, врачей-педиатров участковых и медицинским сестрам врачей общей п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рактики (семейных врачей) за оказанную медицинскую помощь в амбулаторных условиях;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медицинским работникам фельдшерских и фельдшерско-акушерских пунктов (заведующим фельдшерско-акушерскими пунктами, фельдшерам, акушерам (акушеркам), медицинским сестрам, в 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ом числе медицинским сестрам патронажным) за оказанную медицинскую помощь в амбулаторных условиях;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врачам,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ской организации;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врачам-специалистам за оказанную медицинскую помощь в амбулаторных условиях.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spacing w:after="360"/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2.2. Оплата медицинской помощи в амбулаторных условиях</w:t>
      </w:r>
      <w:r>
        <w:rPr>
          <w:highlight w:val="white"/>
        </w:rPr>
      </w:r>
      <w:r/>
    </w:p>
    <w:p>
      <w:pPr>
        <w:ind w:firstLine="720"/>
        <w:jc w:val="both"/>
        <w:spacing w:after="36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2"/>
          <w:szCs w:val="22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Перечень медицинских организаций (структурных подразделений медицинских организаций), имеющих прикрепившихся лиц, оплата амбулаторной медицинской помощи в которых осуществляется по подушевому нормативу финансирования на прикрепившихся лиц (за исключением р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ий биопсийного (операционного) материала с целью диагностики онкологических заболеваний и подбора противоопухолевой лекарственной терапии, тестирования на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выявление новой коронавирусной инфекции (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COVID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-19),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профилактических медицинских осмотров и диспансер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изации, в том числе углубленной диспансеризации, а также средств на оплату диспансерного наблюдения и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организациях и оплачиваемую за единицу объема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медицинской помощи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 разрезе групп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представлен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 приложении № 1 к Тарифному соглашению.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Перечень медицинских организаций (структурных подразделений медицинских организаций), не имеющих прикрепившихся лиц, оплата амбулаторной медицинской помощи в которых 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существляется за единицу объема медицинской помощи - за медицинскую услугу, за посещение, за обращение (законченный случай), за УЕТ в разрезе уровней оказания медицинской помощи представлен в приложении № 2 к Тарифному соглашению.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2.2.1. Порядок оплаты ам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булаторной медицинской помощи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При оплате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медицинской помощи, оказанной в амбулаторных условиях применяются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следующие способы оплаты: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по подушевому норм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генетических исследований и патологоанатомических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терапии, тестирования на выявление новой коронавирусной инфекции (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COVID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-19),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профилактических медицинских осмотров и диспансеризации, в том числе углубленной диспансеризации, а также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средств на оплату диспансерного наблюдения и финансовое обеспечение фельдшерских, фельдшерско-акушерских пунктов) с учетом показателей резу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ых медицинских организациях и оплачиваемую за единицу объема медицинской помощи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за единицу объема медицинской помощи – за  медицинскую услугу, посещение, обращение (законченный случай) при оплате: 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медицинской помощи, оказанной застрахованным лицам за п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ределами субъекта Российской Федерации, на территории которого выдан полис обязательного медицинского страхования; 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медицинской помощи, оказанной в медицинских организациях, не имеющих прикрепившихся лиц; 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медицинской помощи, оказанной медицинской организа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цией (в том числе по направлениям, выданным иной медицинской организацией), источником финансового обеспечения которой являются средства подушевого норматива финансирования на прикрепившихся лиц, получаемые иной медицинской организацией;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отдельных диагност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ических (лабораторных) исследований – компьютерной томографии, магнитно-резонансной томографии, ультразвукового исследования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сердечно-сосудистой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системы, эндоскопических диагностических исследований, молекулярно-генетических исследований и патологоанатомич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терапии, тестирования на выявление новой коронавирусной инфекции (COVID-19); 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профилактических медицинских осм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отров и диспансеризации, в том числе углубленной диспансеризации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диспансерного наблюдения отдельных категорий граждан из числа взрослого населения;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медицинской помощи по медицинской реабилитации.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Кроме того, в целях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повышения эффективности расходования ср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едств обязательного медицинского страхования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оплата посещений школы сахарного диабета осуществляется за единицу объема медицинской помощи (комплексное посещение) вне подушевого норматива финансирования.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 по нормативу финансирования структурного подразде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ления медицинской организации при оплате медицинской помощи, оказываемой фельдшерскими и фельдшерско-акушерскими пунктами. 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  <w:t xml:space="preserve">Для медицинских организаций, оказывающих амбулаторную медицинскую помощь, единицей объема является: 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комплексное посещение для проведения профилактического медицинского осмотра, диспансеризации, в том числе углубленной диспансеризации, диспансерного наблюдения, медицинской реабилитации, школы сахарного диабета;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посещение с иными целями;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посещение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 неотло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жной форме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обращение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 связи с заболеванием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(законченный случай лечения);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условная единица трудоемкости (УЕТ) – для стоматологической медицинской помощи;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медицинская услуга.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 тарифу посещения с иными целями оплачиваются:</w:t>
      </w:r>
      <w:r>
        <w:rPr>
          <w:highlight w:val="white"/>
        </w:rPr>
      </w:r>
      <w:r/>
    </w:p>
    <w:p>
      <w:pPr>
        <w:ind w:firstLine="709"/>
        <w:jc w:val="both"/>
        <w:spacing w:line="245" w:lineRule="auto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посещения для проведения 2 этап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 диспансеризации; </w:t>
      </w:r>
      <w:r>
        <w:rPr>
          <w:highlight w:val="white"/>
        </w:rPr>
      </w:r>
      <w:r/>
    </w:p>
    <w:p>
      <w:pPr>
        <w:ind w:firstLine="709"/>
        <w:jc w:val="both"/>
        <w:spacing w:line="245" w:lineRule="auto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разовые посещения в связи с заболеваниями;</w:t>
      </w:r>
      <w:r>
        <w:rPr>
          <w:highlight w:val="white"/>
        </w:rPr>
      </w:r>
      <w:r/>
    </w:p>
    <w:p>
      <w:pPr>
        <w:ind w:firstLine="709"/>
        <w:jc w:val="both"/>
        <w:spacing w:line="245" w:lineRule="auto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посещения центров здоровья; </w:t>
      </w:r>
      <w:r>
        <w:rPr>
          <w:highlight w:val="white"/>
        </w:rPr>
      </w:r>
      <w:r/>
    </w:p>
    <w:p>
      <w:pPr>
        <w:ind w:firstLine="709"/>
        <w:jc w:val="both"/>
        <w:spacing w:line="245" w:lineRule="auto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посещения медицинских работников, имеющих среднее медицинское образование, ведущих самостоятельный прием;</w:t>
      </w:r>
      <w:r>
        <w:rPr>
          <w:highlight w:val="white"/>
        </w:rPr>
      </w:r>
      <w:r/>
    </w:p>
    <w:p>
      <w:pPr>
        <w:ind w:firstLine="709"/>
        <w:jc w:val="both"/>
        <w:spacing w:line="245" w:lineRule="auto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посещения центров амбулаторной онкологической помощи;</w:t>
      </w:r>
      <w:r>
        <w:rPr>
          <w:highlight w:val="white"/>
        </w:rPr>
      </w:r>
      <w:r/>
    </w:p>
    <w:p>
      <w:pPr>
        <w:ind w:firstLine="709"/>
        <w:jc w:val="both"/>
        <w:spacing w:line="245" w:lineRule="auto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посещения в связи выдачей справок и иных медицинских документов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br/>
        <w:t xml:space="preserve">и другими причинами.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color w:val="C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color w:val="C00000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Оплата осуществляется по  тарифу 1 посещения с иными целями по соответствующей врачебной специальности.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При оказании медицинской помощи по посещениям с иными целями пац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иенту, прикрепленному к медицинской организации,  на оплату выставляются следующие дополнительные медицинские услуги: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медицинские услуги по проведению маммографии;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медицинские услуги по проведению флюорографии легких;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медицинские услуги по проведению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перитонеального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диализа, амбулаторного гемодиализа;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медицинские услуги по проведению МРТ и КТ;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медицинские услуги, оказываемые в кабинетах охраны зрения;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вакцинация;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прием в доврачебном кабинете; 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прием в смотровом кабинете;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кардиотокография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плода;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-медицинские услуги по проведению ультразвуковых исследований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сердечно-сосудистой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системы;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-медицинские услуги по проведению эндоскопических диагностических исследований;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-медицинские услуги по проведению молекулярно-генетических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исследований и патологоанатомических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медицинские услуги по проведению тестирования на выявление новой коронавирусной инфекции (COVID-19).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color w:val="C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color w:val="C00000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Другие дополнительные медицинские услуги из справочника отдельных медицинских услуг, кроме вышеперечисленных, при выполнении посещения с иными целями, 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включению в реестр медицинской помощи, оказанной прикрепленному к медицинской организации населению, не подлежат.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Дополнительные медицинские услуги, показанные и проведенные по направлению лечащего врача при оказании медицинской помощи с иными целями иног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ородним гражданам и гражданам, не прикрепленным  к медицинской организации,  выставляются на оплату для осуществления межтерриториальных и межучережденческих взаиморасчетов. 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color w:val="C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color w:val="C00000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 тарифу обращения в связи с заболеванием оплачиваются: 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два и более  посещен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ий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 пациента к врачу поликлиники с лечебно-диагностической  целью,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два и более  посещений пациента на дому  участковым врачом (терапевтом, педиатром), ВОП или врачом-специалистом поликлиники с лечебно-диагностической  целью по поводу одного и того же  за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болевания,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случай оказания медицинской помощи на дому с последующими посещениями пациента к врачу поликлиники по поводу одного и того же  заболевания,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- два и более  посещений  пациента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 врачу соответствующей специальности с консультативной  целью по поводу обследования при подозрении на  заболевание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,  или для оценки динамики развития ранее установленного заболевания,  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два и более посещений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 женскую консультацию при постановке на уче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 по наблюдению за развитием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беременности (цель лечебно-диагностическая). 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Стоимость лечения в реестре должна быть равна стоимости 1 обращения по соответствующей специальности.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Расходы на проведение манипуляций, амбулаторных операций, дополнительных медици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нских услуг учтены в тарифе одного обращения по поводу заболевания и отдельно  на оплату не выставляются.   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При оказании медицинской помощи по обращениям по поводу заболевания пациенту, прикрепленному к медицинской организации,  на оплату выставляются сле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дующие дополнительные медицинские услуги: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На оплату выставляются следующие медицинские услуги: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медицинские услуги по проведению маммографии;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медицинские услуги по проведению флюорографии легких;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медицинские услуги по проведению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перитонеального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диализ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а, амбулаторного гемодиализа;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медицинские услуги по проведению МРТ и КТ;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медицинские услуги для пульмонологического и ревматологического центров;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медицинские услуги по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спелевоздействию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медицинские услуги, оказываемые в кабинетах охраны зрения;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-ме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дицинские услуги по проведению ультразвуковых исследований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сердечно-сосудистой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системы;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-медицинские услуги по проведению эндоскопических диагностических исследований;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-медицинские услуги по проведению молекулярно-генетических исследований и патологоанатом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медицинские услуги по проведению тестирования на выявление новой коронавирусной инфекции (COVID-1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9).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color w:val="C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color w:val="C00000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Другие дополните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льные медицинские услуги из справочника отдельных медицинских услуг, кроме вышеперечисленных, при выполнении обращения по поводу заболевания,  включению в реестр медицинской помощи, оказанной прикрепленному к медицинской организации населению, не подлежат.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color w:val="C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color w:val="C00000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Дополнительные медицинские услуги, показанные и проведенные по направлению лечащего врача при оказании медицинской помощи по обращениям по поводу заболевания иногородним гражданам и гражданам,  не прикрепленным  к медицинской организации,  выставляются 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 оплату для осуществления межтерриториальных и межучережденческих взаиморасчетов. 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color w:val="C00000"/>
          <w:sz w:val="16"/>
          <w:szCs w:val="16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color w:val="C00000"/>
          <w:sz w:val="16"/>
          <w:szCs w:val="16"/>
          <w:highlight w:val="white"/>
        </w:rPr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 тарифу посещения в неотложной форме оплачиваются: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одно  посещение  пациента на дому  врачом терапевтом участковым, врачом педиатром участковым или врачом общей практи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ки с лечебно-диагностической  целью, 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 случаи оказания медицинской помощи  в травматологических пунктах, 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случаи оказания медицинской помощи в приемном отделении стационарного звена медицинской организации без последующей госпитализации пациента,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пос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ещение по неотложной помощи  врачом-специалистом на дому, 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посещение / обращение к врачу поликлиники с  лечебно-диагностической  целью, завершившееся  госпитализацией  в стационар по экстренным показаниям. 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 Дополнительные медицинские услуги, проведенны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 по направлению лечащего врача при оказании неотложной медицинской помощи, выставляются на оплату в страховые медицинские организации.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Оплата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медицинской помощи, оказанной в консультативных поликлиниках осуществляется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по стоимости медицинских услуг.</w:t>
      </w:r>
      <w:r>
        <w:rPr>
          <w:highlight w:val="white"/>
        </w:rPr>
      </w:r>
      <w:r/>
    </w:p>
    <w:p>
      <w:pPr>
        <w:ind w:firstLine="720"/>
        <w:jc w:val="both"/>
        <w:spacing w:after="360"/>
        <w:rPr>
          <w:rFonts w:ascii="Times New Roman" w:hAnsi="Times New Roman" w:cs="Times New Roman" w:eastAsia="Times New Roman"/>
          <w:b/>
          <w:sz w:val="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8"/>
          <w:szCs w:val="28"/>
          <w:highlight w:val="white"/>
        </w:rPr>
      </w:r>
      <w:r>
        <w:rPr>
          <w:highlight w:val="white"/>
        </w:rPr>
      </w:r>
      <w:r/>
    </w:p>
    <w:p>
      <w:pPr>
        <w:jc w:val="both"/>
        <w:spacing w:after="360"/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2.2.1.1. 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Порядок оплаты  медицинской помощи (медицинских услуг), оказанной в медицинских организациях, имеющих прикрепившихся лиц, оплата медицинской помощи в которых осуществляется по подушевому нормативу финансирования на прикрепившихся лиц, с учетом пок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оплачиваемую за единицу объема медицинской п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омощи</w:t>
      </w:r>
      <w:r>
        <w:rPr>
          <w:highlight w:val="white"/>
        </w:rPr>
      </w:r>
      <w:r/>
    </w:p>
    <w:p>
      <w:pPr>
        <w:ind w:firstLine="53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Оплата медицинской помощи в медицинских организациях, имеющих прикрепившихся лиц осуществляется по подушевому нормативу финансирования на прикрепившихся лиц, с учетом показателей результативности деятельности медицинской организации (включая показате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ли объема медицинской помощи), в том числе с включением расходов на медицинскую помощь, оказываемую в иных медицинских организациях оплачиваемую за единицу объема медицинской помощи.</w:t>
      </w:r>
      <w:r>
        <w:rPr>
          <w:highlight w:val="white"/>
        </w:rPr>
      </w:r>
      <w:r/>
    </w:p>
    <w:p>
      <w:pPr>
        <w:ind w:firstLine="53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Подушевой норматив включает в себя финансовые средства на оказание перви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чной медико-санитарной помощи и специализированной медицинской помощи в амбулаторных условиях, а также оплату медицинской помощи, оказанной застрахованному прикрепленному населению в других МО, участвующих в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подушевом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финансировании по видам медицинской по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мощи, включенным в состав подушевых нормативов.</w:t>
      </w:r>
      <w:r>
        <w:rPr>
          <w:highlight w:val="white"/>
        </w:rPr>
      </w:r>
      <w:r/>
    </w:p>
    <w:p>
      <w:pPr>
        <w:ind w:firstLine="53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Подушевой норматив финансирования на прикрепившихся лиц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включает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том числе расходы на оказание медицинской помощи с применением телемедицинских технологий,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 так же расходы на проведение исследований на нал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ичие вирусов респираторных инфекций, включая вирус гриппа (любым из методов) в случаях, предусмотренных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Программой государственных гарантий бесплатного оказания гражданам на территории Липецкой области медицинской помощи на 2023 год и на плановый период 20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24 и 2025 годов»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Не включаются в расчет подушевых нормативов расходы на проведение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профилактических медицинских осмотров и диспансеризации, в том числе углубленной диспансеризации, диспансерного наблюдения отдельных категорий граждан из числа взрослого 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аселения, школы сахарного диабета,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медицинской реабилитации в амбулаторных условиях, расходы на оплату диализа в амбулаторных условиях, средства, направляемые на финансовое обеспечение фельдшерских, фельдшерско-акушерских пунктов в соответствии с установле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нными Программой государственных гарантий бесплатного оказания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гражданам на территории Липецкой области медицинской помощи размерами финансового обеспечения фельдшерских, фельдшерско-акушерских пунктов, средства, направляемые на оплату проведения отдельных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диагностических (лабораторных) исследований –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терапии, тестирования на выявление новой коронавирусной инфекции (COVID-19), на финансовое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обеспечени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 медицинской помощи сверх базовой программы ОМС (при заболеваниях, передаваемых половым путем, туберкулезе,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профпатологии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, психических расстройствах и расстройствах поведения, в том числе связанных с употреблением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психоактивных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веществ), расходы на финанс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ирование амбулаторной медицинской помощи в МО, не имеющих прикрепившихся лиц, расходы на медицинскую помощь, оказанную в круглосуточных стационарах, дневных стационарах, скорую медицинскую помощь. </w:t>
      </w:r>
      <w:r>
        <w:rPr>
          <w:highlight w:val="white"/>
        </w:rPr>
      </w:r>
      <w:r/>
    </w:p>
    <w:p>
      <w:pPr>
        <w:ind w:firstLine="708"/>
        <w:jc w:val="both"/>
        <w:spacing w:after="36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Прикрепление застрахованных граждан на медицинское обслуживание к медицинской организации осуществляется в соответствии с Приказом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Минздравсоцразвития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РФ от 26.04.2012 № 406н  «Об утверждении порядка выбора гражданином медицинской организации при оказании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ему медицинской помощи в рамках программы государственных гарантий бесплатного оказания гражданам медицинской помощи». 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Информация о наименовании МО, к которой прикреплен гражданин, отражается в базе данных застрахованных. 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8"/>
        <w:jc w:val="both"/>
        <w:spacing w:after="36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Помимо медицинской помощи, оказ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ываемой прикрепленному населению, медицинская организация может оказывать медицинские услуги и населению, прикрепленному к другим медицинским организациям.</w:t>
      </w:r>
      <w:r>
        <w:rPr>
          <w:highlight w:val="white"/>
        </w:rPr>
      </w:r>
      <w:r/>
    </w:p>
    <w:p>
      <w:pPr>
        <w:ind w:firstLine="708"/>
        <w:jc w:val="both"/>
        <w:spacing w:after="36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color w:val="C00000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период наблюдения и лечения пациента в медицинской организации, к которой он прикреплен, лечащий в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рач по показаниям может направить пациента на консультацию к врачу-специалисту другой медицинской организации. В этом случае лечащий врач оформляет направление по форме, утвержденной приказом Министерства здравоохранения и социального развития РФ от 22.11.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2004 № 255 «О порядке оказания первичной медико-санитарной помощи гражданам, имеющим право на получение набора социальных услуг». </w:t>
      </w:r>
      <w:r>
        <w:rPr>
          <w:highlight w:val="white"/>
        </w:rPr>
      </w:r>
      <w:r/>
    </w:p>
    <w:p>
      <w:pPr>
        <w:ind w:right="-86" w:firstLine="71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Ежемесячная сумма финансовых средств рассчитывается ТФОМС Липецкой области и доводится до сведения СМО.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Размер финансового обеспечения по подушевому нормативу для каждой медицинской организации определяется исходя из численности прикрепившихся к ней лиц. 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Финансирование поликлиник по утверждённым  подушевым нормативам осуществляется СМО, в соответствии с зак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люченными с МО договорами, в следующем порядке: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осуществляется авансирование МО;</w:t>
      </w:r>
      <w:r>
        <w:rPr>
          <w:highlight w:val="white"/>
        </w:rPr>
      </w:r>
      <w:r/>
    </w:p>
    <w:p>
      <w:pPr>
        <w:ind w:firstLine="708"/>
        <w:jc w:val="both"/>
        <w:spacing w:after="36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окончательный расчет производится ежемесячно путем оплаты предъявленного поликлиникой счета (с приложением реестра счета) за оказанные медицинские услуги отдельно прикрепл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енному и неприкрепленному населению к данной поликлинике, с учетом выданных авансов. СМО в свою очередь осуществляет расчеты за медицинскую помощь, оказанную прикрепленному населению, за вычетом средств по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межучрежденческим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взаиморасчетам, в пределах разме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ра финансового обеспечения по подушевому нормативу, с учетом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выполнения показателей результативности деятельности медицинских организаций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 </w:t>
      </w:r>
      <w:r>
        <w:rPr>
          <w:highlight w:val="white"/>
        </w:rPr>
      </w:r>
      <w:r/>
    </w:p>
    <w:p>
      <w:pPr>
        <w:ind w:firstLine="708"/>
        <w:jc w:val="both"/>
        <w:spacing w:after="36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Счета за медицинские услуги, оказанные гражданам, неприкрепленным к данной поликлинике, оплачиваются СМО по тарифам,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определенным  для МО, оказавшей медицинскую помощь, из финансового обеспечения по подушевому нормативу тех поликлиник, к которым данные граждане прикреплены. В реестре счета за медицинские услуги, оказанные гражданам, неприкрепленным к данной медицинской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организации, отражается, в том числе информация о направлениях от врачей других медицинских организаций, а также наименование медицинской организации, к которой прикреплен пациент. Оплата счетов, за медицинские услуги, оказанные неприкрепленному населению,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осуществляется при наличии направления из поликлиники.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 случае отсутствия направления, оплата осуществляется после рассмотрения на комиссии СМО по осуществлению межучрежденческих расчетов в условиях финансирования по подушевым нормативам на прикрепленное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застрахованное население в соответствии с Положением об экспертной комиссии, утвержденным приказом ТФОМС Липецкой области от 27.03.2009 №60, из финансового обеспечения по подушевому нормативу тех поликлиник, к которым данные граждане прикреплены, с учетом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мнения представителя МО, оказавшей медицинскую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помощь.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Межучрежденческие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взаиморасчеты за медицинские услуги, оказанные неприкрепленному населению без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направления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лечащего врача, страховые медицинские организации  могут осуществлять в пределах размера фин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ансового обеспечения по подушевому нормативу без рассмотрения на комиссии, при условии согласия заинтересованных сторон. Оплата может производиться без запроса и экспертной оценки первичной медицинской документации, при условии согласия заинтересованных ст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орон. Факт согласия сторон оформляется в форме Акта.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Межучрежденческие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взаиморасчеты осуществляют СМО в следующем порядке: 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в первую очередь, определяется сумма уменьшения финансового обеспечения по подушевому нормативу каждой медицинской организации, в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счет оплаты медицинской помощи (по видам, включенным в состав подушевых нормативов), оказанной прикрепленному к ней населению в других МО,  что производится путем суммирования стоимости позиций реестров счетов других МО по пациентам, прикрепленным к данной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медицинской организации; 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затем определяется сумма средств за медицинские услуги, оказанные в данной поликлинике населению, прикрепленному к другим поликлиникам, определяется по соответствующим счетам.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Контроль соответствия суммы выставленных на оплату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счетов  установленному размеру финансового обеспечения по подушевому нормативу осуществляют СМО. По результатам контроля ежемесячно оформляется протокол, в котором отражается сумма остатка (при его наличии).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Сумма остатка финансового обеспечения по подушев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ому нормативу определяется СМО для каждой поликлиники следующим образом: 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из общего размера финансового обеспечения по подушевому нормативу исключается сумма средств, предназначенная для перечисления в другие МО в рамках межучережденческих взаиморасчетов;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производится сопоставление суммы денежных средств по реестрам за медиц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инские услуги, оказанные населению, прикрепленному к поликлинике, с суммой средств, установленной в результате действий, указанных в предыдущем абзаце. 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16"/>
          <w:szCs w:val="16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16"/>
          <w:szCs w:val="16"/>
          <w:highlight w:val="white"/>
        </w:rPr>
      </w:r>
      <w:r>
        <w:rPr>
          <w:highlight w:val="white"/>
        </w:rPr>
      </w:r>
      <w:r/>
    </w:p>
    <w:p>
      <w:pPr>
        <w:ind w:right="-57"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Оставшиеся финансовые средства от установленного дифференцированного подушевого норматива направляются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 соответствующие медицинские организации. </w:t>
      </w:r>
      <w:r>
        <w:rPr>
          <w:highlight w:val="white"/>
        </w:rPr>
      </w:r>
      <w:r/>
    </w:p>
    <w:p>
      <w:pPr>
        <w:ind w:right="-57"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 случае превышения стоимости медицинской помощи по реестрам прикреплен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ного  населения над размером остатка финансового обеспечения по подушевому нормативу,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страховая медицинская организация производит оплат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у счетов за оказанную медицинскую помощь медицинским организациям в пределах суммы финансового обеспечения по подушевому нормативу.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2"/>
          <w:szCs w:val="2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2"/>
          <w:szCs w:val="22"/>
          <w:highlight w:val="white"/>
        </w:rPr>
      </w:r>
      <w:r>
        <w:rPr>
          <w:highlight w:val="white"/>
        </w:rPr>
      </w:r>
      <w:r/>
    </w:p>
    <w:p>
      <w:pPr>
        <w:jc w:val="both"/>
        <w:spacing w:after="360"/>
        <w:rPr>
          <w:rFonts w:ascii="Times New Roman" w:hAnsi="Times New Roman" w:cs="Times New Roman" w:eastAsia="Times New Roman"/>
          <w:sz w:val="28"/>
          <w:szCs w:val="28"/>
          <w:highlight w:val="white"/>
          <w:u w:val="singl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2.2.1.2. Порядок оплаты  медицинской помощи (медицинских услуг), оказанной в поликлиниках МО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(структурных подразделениях МО), не имеющих прикрепившихся лиц, оплата медицинской помощи в которых осуществляется за единицу объема медицинской помощи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Оплата медицинской помощи, оказанной в поликлиниках МО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(структурных подразделениях МО), не имеющих прикр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епившихся лиц осуществляется по утвержденной стоимости единиц объема медицинской помощи, стоимости соответствующих медицинских услуг.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Медицинская помощь, оказанная в данных медицинских организациях (структурных подразделениях) оплачивается СМО из средств,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не включенных в сумму финансового обеспечения по подушевому нормативу.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Оплата производится страховыми медицинскими организациями в пределах объемов и стоимости медицинских услуг, установленных Заданиями, утверждаемыми для МО Комиссией по разработке Террито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риальной программы ОМС. 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16"/>
          <w:szCs w:val="16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16"/>
          <w:szCs w:val="16"/>
          <w:highlight w:val="white"/>
        </w:rPr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2.2.1.3. Порядок оплаты отдельных диагностических (лабораторных) исследований (компьютерной томографии, магнитно-резонансной томографии, ультразвукового исследования 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сердечно-сосудистой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й терапии, тестирования на выявление новой коронавирусной инфекции (COVID-19))</w:t>
      </w:r>
      <w:r>
        <w:rPr>
          <w:highlight w:val="white"/>
        </w:rPr>
      </w:r>
      <w:r/>
    </w:p>
    <w:p>
      <w:pPr>
        <w:ind w:left="644"/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Оплата за проведение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 с целью диагностики онкологических заболеваний и подбора противоопухолевой лекар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ственной терапии, тестирования на выявление новой коронавирусной инфекции (COVID-19)) осуществляется за единицу объема медицинской помощи - за медицинскую услугу, из средств, не включенных в сумму финансового обеспечения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по подушевому нормативу.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  <w:t xml:space="preserve">Оплата ос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уществляется по тарифам, установленным в соответствии с нормативами финансовых затрат на единицу объема.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Назначение отдельных диагностических (лабораторных) исследований (компьютерной томографии, магнитно-резонансной томографии, ультразвукового исследов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 осуществляется лечащим врачом, оказывающим первичную медико-сан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итарную помощь, в том числе первичную специализированную медико-санитарную помощь, при наличии медицинских показаний в установленные сроки.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Проведение исследований на наличие новой коронавирусной инфекции (COVID-19) методом полимеразной цепной реакции осущ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ествляется в случае:</w:t>
      </w:r>
      <w:r>
        <w:rPr>
          <w:highlight w:val="white"/>
        </w:rPr>
      </w:r>
      <w:r/>
    </w:p>
    <w:p>
      <w:pPr>
        <w:ind w:firstLine="644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наличия у застрахованных граждан признаков острого простудного заболевания неясной этиологии при появлении симптомов, не исключающих наличие новой коронавирусной инфекции (COVID-19);</w:t>
      </w:r>
      <w:r>
        <w:rPr>
          <w:highlight w:val="white"/>
        </w:rPr>
      </w:r>
      <w:r/>
    </w:p>
    <w:p>
      <w:pPr>
        <w:ind w:firstLine="644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наличия у застрахованных граждан новой ко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ронавирусной инфекции (COVID-19), в том числе для оценки результатов проводимого лечения;</w:t>
      </w:r>
      <w:r>
        <w:rPr>
          <w:highlight w:val="white"/>
        </w:rPr>
      </w:r>
      <w:r/>
    </w:p>
    <w:p>
      <w:pPr>
        <w:ind w:firstLine="644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положительного результата исследования на выявление возбудителя новой коронавирусной инфекции (COVID-19), полученного с использованием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экспресс-теста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(при условии пер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едачи гражданином или уполномоченной на экспресс-тестирование организацией указанного теста медицинской организации).</w:t>
      </w:r>
      <w:r>
        <w:rPr>
          <w:highlight w:val="white"/>
        </w:rPr>
      </w:r>
      <w:r/>
    </w:p>
    <w:p>
      <w:pPr>
        <w:ind w:firstLine="644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Оплата медицинской помощи осуществляется в пределах объемов, установленных Решением комиссии по разработке территориальной программы обяза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тельного медицинского страхования.</w:t>
      </w:r>
      <w:r>
        <w:rPr>
          <w:highlight w:val="white"/>
        </w:rPr>
      </w:r>
      <w:r/>
    </w:p>
    <w:p>
      <w:pPr>
        <w:ind w:left="644"/>
        <w:jc w:val="both"/>
        <w:rPr>
          <w:rFonts w:ascii="Times New Roman" w:hAnsi="Times New Roman" w:cs="Times New Roman" w:eastAsia="Times New Roman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2.2.1.4. Порядок финансирования фельдшерских, и фельдшерско-акушерских пунктов</w:t>
      </w:r>
      <w:r>
        <w:rPr>
          <w:highlight w:val="white"/>
        </w:rPr>
      </w:r>
      <w:r/>
    </w:p>
    <w:p>
      <w:pPr>
        <w:ind w:left="644"/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Размер финансового обеспечения фе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льдшерских, фельдшерско-акушерских пунктов при условии их соответствия требованиям, установленным положением об организации оказания первичной медико-санитарной помощи взрослому населению, утвержденным Министерством здравоохранения Российской Федерации на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2023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год определяется в соответствии с Постановлением Правительства Российской Федерации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от 29.12.2022 № 2497 «О Программе государственных гарантий бесплатного оказания гражданам медицинской помощи на 2023 год и на плановый период 2024 и 2025 годов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», Поста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новлением администрации Липецкой области от 30.12.2022 № 380 «Об утверждении Программы государственных гарантий бесплатного оказания гражданам на территории Липецкой области медицинской помощи на 2023 год и на плановый период 2024 и 2025 годов».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  <w:t xml:space="preserve">Перечень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фельдшерских пунктов, фельдшерско-акушерских пунктов с указанием диапазона численности обслуживаемого населения, годового размера финансового обеспечения, а также информации о соответствии/несоответствии ФП, ФАП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требованиям, установленным положением об орг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анизации оказания первичной медико-санитарной помощи взрослому населению представлен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 приложении № 3 к Тарифному соглашению.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  <w:t xml:space="preserve">Размер финансового обеспечения медицинской организации, в составе которой имеются фельдшерские, фельдшерско-акушерские пункты, оп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ределяется исходя из подушевого норматива финансирования и количества лиц, прикрепленных к ней, а также расходов на фельдшерские, фельдшерско-акушерские пункты исходя из их количества в составе медицинской организации и установленного среднего размера их ф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инансового обеспечения.</w:t>
      </w:r>
      <w:r>
        <w:rPr>
          <w:highlight w:val="white"/>
        </w:rPr>
      </w:r>
      <w:r/>
    </w:p>
    <w:p>
      <w:pPr>
        <w:ind w:firstLine="644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Расходы на оплату транспортных услуг не входят в размеры финансового обеспечения фельдшерских, фельдшерско-акушерских пунктов.</w:t>
      </w:r>
      <w:r>
        <w:rPr>
          <w:highlight w:val="white"/>
        </w:rPr>
      </w:r>
      <w:r/>
    </w:p>
    <w:p>
      <w:pPr>
        <w:ind w:left="644"/>
        <w:jc w:val="center"/>
        <w:rPr>
          <w:rFonts w:ascii="Times New Roman" w:hAnsi="Times New Roman" w:cs="Times New Roman" w:eastAsia="Times New Roman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4"/>
          <w:szCs w:val="24"/>
          <w:highlight w:val="white"/>
        </w:rPr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  <w:szCs w:val="24"/>
          <w:highlight w:val="white"/>
        </w:rPr>
        <w:t xml:space="preserve">2.2.1.5. 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Порядок оплаты медицинской помощи, оказанной в центрах здоровья</w:t>
      </w:r>
      <w:r>
        <w:rPr>
          <w:highlight w:val="white"/>
        </w:rPr>
      </w:r>
      <w:r/>
    </w:p>
    <w:p>
      <w:pPr>
        <w:ind w:left="644"/>
        <w:jc w:val="center"/>
        <w:rPr>
          <w:rFonts w:ascii="Times New Roman" w:hAnsi="Times New Roman" w:cs="Times New Roman" w:eastAsia="Times New Roman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4"/>
          <w:szCs w:val="24"/>
          <w:highlight w:val="white"/>
        </w:rPr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Медицинские организации, в составе которых созданы Центры здоровья, участвуют в реализации территориальной программы обязательного медицинского страхования в части оказания гражданам первичной медико-санитарной помощи в этих структурных подразделениях.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Ед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иницей объема первичной медико-санитарной  помощи, оказанной в  Центре здоровья, является посещение  гражданина, впервые обратившегося в отчетном году для проведения комплексного обследования.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Комплексное обследование в Центре здоровья взрослого гражданина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проводится 1 раз в отчетном году в следующем обязательном объеме: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numPr>
          <w:ilvl w:val="0"/>
          <w:numId w:val="3"/>
        </w:numPr>
        <w:ind w:hanging="99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осмотр врача-терапевта, включая измерение роста и веса; </w:t>
      </w:r>
      <w:r>
        <w:rPr>
          <w:highlight w:val="white"/>
        </w:rPr>
      </w:r>
      <w:r/>
    </w:p>
    <w:p>
      <w:pPr>
        <w:numPr>
          <w:ilvl w:val="0"/>
          <w:numId w:val="3"/>
        </w:numPr>
        <w:ind w:hanging="99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осмотр гигиениста стоматологического для диагностики заболеваний зубов и полости рта, оценка гигиены полости рта с рекомендациями п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 индивидуальному уходу, при необходимости проведение профилактических процедур;</w:t>
      </w:r>
      <w:r>
        <w:rPr>
          <w:highlight w:val="white"/>
        </w:rPr>
      </w:r>
      <w:r/>
    </w:p>
    <w:p>
      <w:pPr>
        <w:numPr>
          <w:ilvl w:val="0"/>
          <w:numId w:val="3"/>
        </w:numPr>
        <w:ind w:hanging="99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тестирование на аппаратно-программном комплексе для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скрининг-оценки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уровня психофизиологического и соматического здоровья, функциональных и адаптивных резервов организма; </w:t>
      </w:r>
      <w:r>
        <w:rPr>
          <w:highlight w:val="white"/>
        </w:rPr>
      </w:r>
      <w:r/>
    </w:p>
    <w:p>
      <w:pPr>
        <w:numPr>
          <w:ilvl w:val="0"/>
          <w:numId w:val="3"/>
        </w:numPr>
        <w:ind w:hanging="99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скр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ининг сердца компьютеризированный (экспресс-оценка состояния сердца по ЭКГ-сигналам от конечностей); </w:t>
      </w:r>
      <w:r>
        <w:rPr>
          <w:highlight w:val="white"/>
        </w:rPr>
      </w:r>
      <w:r/>
    </w:p>
    <w:p>
      <w:pPr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ангиологический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скрининг с автоматическим измерением систолического артериального давления и расчетом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плече-лодыжечного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индекса;</w:t>
      </w:r>
      <w:r>
        <w:rPr>
          <w:highlight w:val="white"/>
        </w:rPr>
      </w:r>
      <w:r/>
    </w:p>
    <w:p>
      <w:pPr>
        <w:numPr>
          <w:ilvl w:val="0"/>
          <w:numId w:val="3"/>
        </w:numPr>
        <w:ind w:hanging="99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комплексная детальная оценка функций дыхательной системы; </w:t>
      </w:r>
      <w:r>
        <w:rPr>
          <w:highlight w:val="white"/>
        </w:rPr>
      </w:r>
      <w:r/>
    </w:p>
    <w:p>
      <w:pPr>
        <w:numPr>
          <w:ilvl w:val="0"/>
          <w:numId w:val="3"/>
        </w:numPr>
        <w:ind w:hanging="99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экспресс-анализ для определения общего холестерина; </w:t>
      </w:r>
      <w:r>
        <w:rPr>
          <w:highlight w:val="white"/>
        </w:rPr>
      </w:r>
      <w:r/>
    </w:p>
    <w:p>
      <w:pPr>
        <w:numPr>
          <w:ilvl w:val="0"/>
          <w:numId w:val="3"/>
        </w:numPr>
        <w:ind w:hanging="99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экспресс-анализ для определения глюкозы в крови;</w:t>
      </w:r>
      <w:r>
        <w:rPr>
          <w:highlight w:val="white"/>
        </w:rPr>
      </w:r>
      <w:r/>
    </w:p>
    <w:p>
      <w:pPr>
        <w:numPr>
          <w:ilvl w:val="0"/>
          <w:numId w:val="3"/>
        </w:numPr>
        <w:ind w:hanging="99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проверка остроты зрения. </w:t>
      </w:r>
      <w:r>
        <w:rPr>
          <w:highlight w:val="white"/>
        </w:rPr>
      </w:r>
      <w:r/>
    </w:p>
    <w:p>
      <w:pPr>
        <w:ind w:left="169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На оплату предоставляется законченный случай посещения Центра здоровья с выполненным обязательным объемом медицинских услуг, перечисленным выше. Случай с невыполненным комплексом обязательных обследований считается незаконченным и  оплате не подлежит.</w:t>
      </w:r>
      <w:r>
        <w:rPr>
          <w:highlight w:val="white"/>
        </w:rPr>
      </w:r>
      <w:r/>
    </w:p>
    <w:p>
      <w:pPr>
        <w:ind w:firstLine="36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наличии показаний  взрослым проводятся следующие обследования:</w:t>
      </w:r>
      <w:r>
        <w:rPr>
          <w:highlight w:val="white"/>
        </w:rPr>
      </w:r>
      <w:r/>
    </w:p>
    <w:p>
      <w:pPr>
        <w:numPr>
          <w:ilvl w:val="0"/>
          <w:numId w:val="1"/>
        </w:numPr>
        <w:ind w:hanging="99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биоимпедансметрия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внутренних сред организма;</w:t>
      </w:r>
      <w:r>
        <w:rPr>
          <w:highlight w:val="white"/>
        </w:rPr>
      </w:r>
      <w:r/>
    </w:p>
    <w:p>
      <w:pPr>
        <w:numPr>
          <w:ilvl w:val="0"/>
          <w:numId w:val="1"/>
        </w:numPr>
        <w:ind w:hanging="99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пульсоксиметрия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numPr>
          <w:ilvl w:val="0"/>
          <w:numId w:val="1"/>
        </w:numPr>
        <w:ind w:hanging="99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экспресс-исследование на содержание токсических веществ в биологических средах организма; </w:t>
      </w:r>
      <w:r>
        <w:rPr>
          <w:highlight w:val="white"/>
        </w:rPr>
      </w:r>
      <w:r/>
    </w:p>
    <w:p>
      <w:pPr>
        <w:numPr>
          <w:ilvl w:val="0"/>
          <w:numId w:val="1"/>
        </w:numPr>
        <w:ind w:hanging="99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исследование содержания окиси углеро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да выдыхаемого воздуха с определением карбоксигемоглобина;</w:t>
      </w:r>
      <w:r>
        <w:rPr>
          <w:highlight w:val="white"/>
        </w:rPr>
      </w:r>
      <w:r/>
    </w:p>
    <w:p>
      <w:pPr>
        <w:numPr>
          <w:ilvl w:val="0"/>
          <w:numId w:val="1"/>
        </w:numPr>
        <w:ind w:hanging="99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определение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котинина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и других биологических маркеров в крови и моче;</w:t>
      </w:r>
      <w:r>
        <w:rPr>
          <w:highlight w:val="white"/>
        </w:rPr>
      </w:r>
      <w:r/>
    </w:p>
    <w:p>
      <w:pPr>
        <w:numPr>
          <w:ilvl w:val="0"/>
          <w:numId w:val="1"/>
        </w:numPr>
        <w:ind w:hanging="99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экспресс-исследование на содержание алкоголя, никотина в биологических жидкостях;</w:t>
      </w:r>
      <w:r>
        <w:rPr>
          <w:highlight w:val="white"/>
        </w:rPr>
      </w:r>
      <w:r/>
    </w:p>
    <w:p>
      <w:pPr>
        <w:numPr>
          <w:ilvl w:val="0"/>
          <w:numId w:val="1"/>
        </w:numPr>
        <w:ind w:left="708" w:firstLine="12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  тонометрия; </w:t>
      </w:r>
      <w:r>
        <w:rPr>
          <w:highlight w:val="white"/>
        </w:rPr>
      </w:r>
      <w:r/>
    </w:p>
    <w:p>
      <w:pPr>
        <w:numPr>
          <w:ilvl w:val="0"/>
          <w:numId w:val="1"/>
        </w:numPr>
        <w:ind w:left="708" w:firstLine="12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   рефрактометрия (определени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 полей зрения);</w:t>
      </w:r>
      <w:r>
        <w:rPr>
          <w:highlight w:val="white"/>
        </w:rPr>
      </w:r>
      <w:r/>
    </w:p>
    <w:p>
      <w:pPr>
        <w:numPr>
          <w:ilvl w:val="0"/>
          <w:numId w:val="1"/>
        </w:numPr>
        <w:ind w:left="708" w:firstLine="12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   занятие ЛФК;</w:t>
      </w:r>
      <w:r>
        <w:rPr>
          <w:highlight w:val="white"/>
        </w:rPr>
      </w:r>
      <w:r/>
    </w:p>
    <w:p>
      <w:pPr>
        <w:numPr>
          <w:ilvl w:val="0"/>
          <w:numId w:val="1"/>
        </w:numPr>
        <w:ind w:left="708" w:firstLine="12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   занятие на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кардиотренажере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ind w:left="708"/>
        <w:jc w:val="both"/>
        <w:rPr>
          <w:rFonts w:ascii="Times New Roman" w:hAnsi="Times New Roman" w:cs="Times New Roman" w:eastAsia="Times New Roman"/>
          <w:sz w:val="22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2"/>
          <w:szCs w:val="28"/>
          <w:highlight w:val="white"/>
        </w:rPr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Комплексное обследование в Центре здоровья детей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проводится 1 раз в отчетном году в следующем обязательном объеме:</w:t>
      </w:r>
      <w:r>
        <w:rPr>
          <w:highlight w:val="white"/>
        </w:rPr>
      </w:r>
      <w:r/>
    </w:p>
    <w:p>
      <w:pPr>
        <w:numPr>
          <w:ilvl w:val="0"/>
          <w:numId w:val="4"/>
        </w:num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осмотр врача-педиатра, включая измерение роста и веса;</w:t>
      </w:r>
      <w:r>
        <w:rPr>
          <w:highlight w:val="white"/>
        </w:rPr>
      </w:r>
      <w:r/>
    </w:p>
    <w:p>
      <w:pPr>
        <w:numPr>
          <w:ilvl w:val="0"/>
          <w:numId w:val="4"/>
        </w:num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осмотр гигиениста стоматологического для диагностики заболеваний зубов и полости рта, оценка гигиены полости рта с рекомендациями по индивидуальному уходу, при необходимости проведение профилактических процедур;</w:t>
      </w:r>
      <w:r>
        <w:rPr>
          <w:highlight w:val="white"/>
        </w:rPr>
      </w:r>
      <w:r/>
    </w:p>
    <w:p>
      <w:pPr>
        <w:numPr>
          <w:ilvl w:val="0"/>
          <w:numId w:val="4"/>
        </w:num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тестирование на аппаратно-программном компле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ксе для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скрининг-оценки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уровня психофизиологического и соматического здоровья, функциональных и адаптивных резервов организма; </w:t>
      </w:r>
      <w:r>
        <w:rPr>
          <w:highlight w:val="white"/>
        </w:rPr>
      </w:r>
      <w:r/>
    </w:p>
    <w:p>
      <w:pPr>
        <w:numPr>
          <w:ilvl w:val="0"/>
          <w:numId w:val="4"/>
        </w:num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комплексная детальная оценка функций дыхательной системы; </w:t>
      </w:r>
      <w:r>
        <w:rPr>
          <w:highlight w:val="white"/>
        </w:rPr>
      </w:r>
      <w:r/>
    </w:p>
    <w:p>
      <w:pPr>
        <w:numPr>
          <w:ilvl w:val="0"/>
          <w:numId w:val="4"/>
        </w:num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экспресс-анализ для определения глюкозы в крови.</w:t>
      </w:r>
      <w:r>
        <w:rPr>
          <w:highlight w:val="white"/>
        </w:rPr>
      </w:r>
      <w:r/>
    </w:p>
    <w:p>
      <w:pPr>
        <w:ind w:firstLine="36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На оплату предоставляется законченный случай посещения Центра здоровья с выполненным обязательным объемом медицинских услуг, перечисленным выше. Случай с невыполненным комплексом обязательных обследований считается незаконченным и  оплате не подлежит.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  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   </w:t>
      </w:r>
      <w:r>
        <w:rPr>
          <w:highlight w:val="white"/>
        </w:rPr>
      </w:r>
      <w:r/>
    </w:p>
    <w:p>
      <w:pPr>
        <w:ind w:firstLine="36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При наличии показаний  детям проводятся следующие обследования: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         1)   осмотр психолога;</w:t>
      </w:r>
      <w:r>
        <w:rPr>
          <w:highlight w:val="white"/>
        </w:rPr>
      </w:r>
      <w:r/>
    </w:p>
    <w:p>
      <w:pPr>
        <w:ind w:left="1211" w:hanging="502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2)   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биоимпедансметрия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внутренних сред организма;</w:t>
      </w:r>
      <w:r>
        <w:rPr>
          <w:highlight w:val="white"/>
        </w:rPr>
      </w:r>
      <w:r/>
    </w:p>
    <w:p>
      <w:pPr>
        <w:ind w:left="851" w:hanging="142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3)   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пульсоксиметрия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ind w:left="851" w:hanging="142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4) экспресс-исследование на содержание токсических веществ в биологических средах организма; </w:t>
      </w:r>
      <w:r>
        <w:rPr>
          <w:highlight w:val="white"/>
        </w:rPr>
      </w:r>
      <w:r/>
    </w:p>
    <w:p>
      <w:pPr>
        <w:ind w:left="851" w:hanging="142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5)    исследование содержания окиси углерода выдыхаемого воздуха с              определением карбоксигемоглобина;</w:t>
      </w:r>
      <w:r>
        <w:rPr>
          <w:highlight w:val="white"/>
        </w:rPr>
      </w:r>
      <w:r/>
    </w:p>
    <w:p>
      <w:pPr>
        <w:ind w:left="851" w:hanging="142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6)    определение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котинина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и других биологически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х маркеров в крови и моче;</w:t>
      </w:r>
      <w:r>
        <w:rPr>
          <w:highlight w:val="white"/>
        </w:rPr>
      </w:r>
      <w:r/>
    </w:p>
    <w:p>
      <w:pPr>
        <w:ind w:left="851" w:hanging="142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7) экспресс-исследование на содержание алкоголя, никотина в биологических жидкостях;</w:t>
      </w:r>
      <w:r>
        <w:rPr>
          <w:highlight w:val="white"/>
        </w:rPr>
      </w:r>
      <w:r/>
    </w:p>
    <w:p>
      <w:pPr>
        <w:ind w:left="1211" w:hanging="502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8) тонометрия; </w:t>
      </w:r>
      <w:r>
        <w:rPr>
          <w:highlight w:val="white"/>
        </w:rPr>
      </w:r>
      <w:r/>
    </w:p>
    <w:p>
      <w:pPr>
        <w:ind w:left="851" w:hanging="142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9)  рефрактометрия (определение полей зрения);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        10) скрининг сердца компьютеризированный; 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        11)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ангиологический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скрининг с автоматическим измерением систолического артериального давления и расчетом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плече-лодыжечного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индекса;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         12) экспресс-анализ для определения  холестерина;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13)  занятие ЛФК;</w:t>
      </w:r>
      <w:r>
        <w:rPr>
          <w:highlight w:val="white"/>
        </w:rPr>
      </w:r>
      <w:r/>
    </w:p>
    <w:p>
      <w:pPr>
        <w:ind w:left="71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14) занятие на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кардиотренажере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Оплата медицинской помощи по проведению комплексного обследования впервые обратившихся граждан, а также граждан,  обратившихся для динамического наблюдения, по рекомендации врача Центра здоровья, осуществляется из средств финансового обеспечения по подушев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ому нормативу медицинских организаций, чьи пациенты получили данную медицинскую помощь в Центрах здоровья.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Медицинские организации формируют по утвержденной форме отдельные счета и реестры счетов на медицинские услуги, оказанные в Центре здоровья,  и предо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ставляют на оплату в страховые медицинские организации.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Оплата первичной медико-санитарной помощи, оказанной в Центрах здоровья гражданам, не застрахованным по обязательному медицинскому страхованию, осуществляется в соответствии с законодательством Россий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ской Федерации за счет бюджетных ассигнований соответствующих бюджетов.</w:t>
      </w:r>
      <w:r>
        <w:rPr>
          <w:highlight w:val="whit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2"/>
          <w:szCs w:val="2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2"/>
          <w:szCs w:val="22"/>
          <w:highlight w:val="white"/>
        </w:rPr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2.2.1.6. Порядок оплаты  медицинских услуг по проведению диспансеризации определенных гру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пп взр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ослого населения</w:t>
      </w:r>
      <w:r>
        <w:rPr>
          <w:highlight w:val="white"/>
        </w:rPr>
      </w:r>
      <w:r/>
    </w:p>
    <w:p>
      <w:pPr>
        <w:jc w:val="center"/>
        <w:rPr>
          <w:rFonts w:ascii="Times New Roman" w:hAnsi="Times New Roman" w:cs="Times New Roman" w:eastAsia="Times New Roman"/>
          <w:sz w:val="16"/>
          <w:szCs w:val="2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16"/>
          <w:szCs w:val="22"/>
          <w:highlight w:val="white"/>
        </w:rPr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Диспансеризация определенных гру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пп взр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ослого населения (работающих граждан и неработающих граждан) проводится в соответствии с Приказом Минздрава России от 27.04.2021 № 404н. 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Диспансеризация проводится в два этапа. 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Первый этап диспансеризации считаются завершенными в случае выполнения в тече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ние календарного года не менее 85% от объема первого этапа диспансеризации, при этом обязательным для всех граждан является проведение анкетирования и прием (осмотр) врачом по медицинской профилактике отделения (кабинета) медицинской профилактики или центр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 здоровья или фельдшером, а также проведение маммографии, исследование кала на скрытую кровь иммунохимическим качественным или количественным методом, осмотр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фельдшером (акушеркой) или врачом акушером-гинекологом, взятие мазка с шейки матки, цитологическо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 исследование мазка с шейки матки, определение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простат-специфического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антигена в крови.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 случае выполнения в рамках 1 этапа диспансеризации менее 85% от объема диспансеризации, установленного для соответствующего возраста и пола гражданина, проведенная д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испансеризация не подлежит оплате по тарифам диспансеризации, оплата таких услуг осуществляется по соответствующим тарифам на единицу объема (посещение, медицинская услуга).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Первый этап диспансеризации может проводиться мобильными медицинскими бригадами, осуществляющими свою деятельность в соответствии с правилами организации работы мобильных медицинских бригад, предусмотренными </w:t>
      </w:r>
      <w:hyperlink r:id="rId14" w:tooltip="about:blank" w:history="1">
        <w:r>
          <w:rPr>
            <w:rFonts w:ascii="Times New Roman" w:hAnsi="Times New Roman" w:cs="Times New Roman" w:eastAsia="Times New Roman"/>
            <w:sz w:val="28"/>
            <w:szCs w:val="28"/>
            <w:highlight w:val="white"/>
          </w:rPr>
          <w:t xml:space="preserve">при</w:t>
        </w:r>
        <w:r>
          <w:rPr>
            <w:rFonts w:ascii="Times New Roman" w:hAnsi="Times New Roman" w:cs="Times New Roman" w:eastAsia="Times New Roman"/>
            <w:sz w:val="28"/>
            <w:szCs w:val="28"/>
            <w:highlight w:val="white"/>
          </w:rPr>
          <w:t xml:space="preserve">ложением № 8</w:t>
        </w:r>
      </w:hyperlink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к Положению об организации оказания первичной медико-санитарной помощи взрослому населению, утвержденному приказом Министерства здравоохранения и социального развития Российской Федерации от 15.05.2012  №543н. 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Второй этап диспансеризации пров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одится с целью дополнительного обследования и уточнения диагноза заболевания (состояния), выявленного на первом этапе.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 рамках второго этапа на оплату выставляются только те медицинские услуги, которые были фактически проведены пациенту. 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Медицинские орга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низации формируют счета и реестры счетов на медицинские услуги по проведению диспансеризации и выставляют их на оплату в страховые медицинские организации.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Формирование реестров осуществляется в соответствии со «Справочником медицинских услуг по проведению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диспансеризации определенных гру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пп взр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ослого населения».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Оплата реестров медицинской помощи по проведению диспансеризации определенных гру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пп взр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ослого населения осуществляется из средств, 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входящих в расчет финансового обеспечения по подушевому нормати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ву медицинских организаций.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 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2.2.1.7. Порядок оплаты профилактических медицинских осмотров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2"/>
          <w:szCs w:val="2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2"/>
          <w:szCs w:val="22"/>
          <w:highlight w:val="white"/>
        </w:rPr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Профилактические медицинские осмотры проводятся в соответствии с Приказом Минздрава России от 27.04.2021 №404н.</w:t>
      </w:r>
      <w:r>
        <w:rPr>
          <w:highlight w:val="white"/>
        </w:rPr>
      </w:r>
      <w:r/>
    </w:p>
    <w:p>
      <w:pPr>
        <w:ind w:firstLine="540"/>
        <w:jc w:val="both"/>
        <w:widowControl w:val="off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Профилактические медицинские осмотры осуществляются взрослому населению (в возрасте 18 лет и старше).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Профилактические медицинские осмотры проводятся ежегодно: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в качестве самостоятельного мероприятия;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в рамках диспансеризации;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в рамках диспансерного наблюдения (при проведении первого в текущем году диспансерного приема (осмотра, консультации).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Профилактический медицинский осмотр считаются завершенными в случае выполнения в течение календарного года не менее 85% от объема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профи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лактическорго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медицинского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рсмотра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, при этом обязательным для всех граждан является проведение анкетирования и прием (осмотр) врачом по медицинской профилактике отделения (кабинета) медицинской профилактики или Центра здоровья или фельдшером, а также прове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дение маммографии, исследование кала на скрытую кровь иммунохимическим качественным или количественным методом, осмотр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фельдшером (акушеркой) или врачом акушером-гинекологом, взятие мазка с шейки матки, цитологическое исследование мазка с шейки матки, опре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деление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простат-специфического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антигена в крови.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 случае выполнения в рамках профилактического медицинского осмотра менее 85%, такие случаи не учитываются как проведенный профилактический осмотр и не подлежат оплате по тарифам на проведение профилактическ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их медицинских осмотров, оплата таких услуг осуществляется по соответствующим тарифам на единицу объема (посещение, медицинская услуга).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         Медицинские организации формируют счета и реестры счетов на медицинские услуги по проведению профилактических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медицинских осмотров и выставляют на оплату в страховые медицинские организации.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          Формирование реестров осуществляется в соответствии со «Справочником медицинских услуг по проведению профилактических медицинских осмотров».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trike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 Оплата реестров медицинской помощи по проведению медицинских осмотров осуществляется из средств,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входящих в расчет финансового обеспечения по подушевому нормативу медицинских организаций</w:t>
      </w:r>
      <w:r>
        <w:rPr>
          <w:rFonts w:ascii="Times New Roman" w:hAnsi="Times New Roman" w:cs="Times New Roman" w:eastAsia="Times New Roman"/>
          <w:strike/>
          <w:sz w:val="28"/>
          <w:szCs w:val="28"/>
          <w:highlight w:val="white"/>
        </w:rPr>
        <w:t xml:space="preserve">. </w:t>
      </w:r>
      <w:r>
        <w:rPr>
          <w:highlight w:val="white"/>
        </w:rPr>
      </w:r>
      <w:r/>
    </w:p>
    <w:p>
      <w:pPr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2.2.1.8. Порядок оплаты  медицинских услуг по проведению углу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бленной диспансеризации граждан, переболевших новой коронавирусной инфекцией (covid-19)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 соответствии с приказом Министерства здравоохранения Российской Федерации от 27.04.2021 № 404н, в дополнение к профилактическим медицинским осмотрам и диспансеризации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граждане, переболевшие новой коронавирусной инфекцией (COVID-19), вправе пройти углубленную диспансеризацию, включающую исследования и иные медицинские вмешательства (далее - углубленная диспансеризация).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Углубленная диспансеризация также может быть прове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дена по инициативе гражданина, в отношении которого отсутствуют сведения о перенесенном заболевании новой коронавирусной инфекцией (COVID-19).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Проведение углубленной диспансеризации осуществляется вне зависимости от факта прохождения гражданами профилактич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еских медицинских осмотров или диспансеризации.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Углубленная диспансеризация проводится в два этапа. 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Первый этап углубленной диспансеризации проводится в целях выявления у граждан, перенесших новую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коронавирусную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инфекцию COVID-19, признаков развития хронических неинфекционных заболеваний, факторов риска их развития, а также определения медицинских показ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аний к выполнению дополнительных обследований и осмотров врачами-специалистами для уточнения диагноза заболевания (состояния) на втором этапе диспансеризации и включает в себя: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а) измерение насыщения крови кислородом (сатурация) в покое;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б) тест с 6-минутн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ой ходьбой (при исходной сатурации кислорода крови 95 процентов и больше в сочетании с наличием у гражданина жалоб на одышку, отеки, которые появились впервые или повысилась их интенсивность);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в) проведение спирометрии или спирографии;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г) общий (клинически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й) анализ крови развернутый;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д)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аланинаминотрансферазы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 крови, определение активности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аспартатаминотран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сферазы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 крови, определение активности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лактатдегидрогеназы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 крови, исследование уровня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креатинина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 крови);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е) определение концентрации Д-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димера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 крови у граждан, перенесших среднюю степень тяжести и выше новой коронавирусной инфекции (COVID-19);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ж) про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ведение рентгенографии органов грудной клетки (если не выполнялась ранее в течение года);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з) прием (осмотр) врачом-терапевтом (участковым терапевтом, врачом общей практики).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Второй этап диспансеризации проводится в целях дополнительного обследования и уточ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нения диагноза заболевания (состояния) и включает в себя: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а) проведение эхокардиографии (в случае показателя сатурации в покое 94 процента и ниже, а также по результатам проведения теста с 6-минутной ходьбой);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б) проведение компьютерной томографии легких (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 случае показателя сатурации в покое 94 процента и ниже, а также по результатам проведения теста с 6-минутной ходьбой);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в) дуплексное сканирование вен нижних конечностей (при наличии показаний по результатам определения концентрации Д-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димера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 крови).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pStyle w:val="1048"/>
        <w:ind w:firstLine="720"/>
        <w:jc w:val="both"/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Пр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и оплате углубленной диспансеризации применяются следующие способы:</w:t>
      </w:r>
      <w:r>
        <w:rPr>
          <w:highlight w:val="white"/>
        </w:rPr>
      </w:r>
      <w:r/>
    </w:p>
    <w:p>
      <w:pPr>
        <w:pStyle w:val="1048"/>
        <w:ind w:firstLine="720"/>
        <w:jc w:val="both"/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в рамках 1 этапа углубленной диспансеризации: </w:t>
      </w:r>
      <w:r>
        <w:rPr>
          <w:highlight w:val="white"/>
        </w:rPr>
      </w:r>
      <w:r/>
    </w:p>
    <w:p>
      <w:pPr>
        <w:pStyle w:val="1048"/>
        <w:ind w:firstLine="720"/>
        <w:jc w:val="both"/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- за комплексное посещение, включающее измерение насыщения крови кислородом (сатурация) в покое, проведение спирометрии или спирографии, общи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й (клинический) анализ крови развернутый,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аланинаминотрансферазы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 в крови, определение активности 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аспарта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таминотрансферазы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 в крови, определение активности 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лактатдегидрогеназы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 в крови, исследование уровня 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креатинина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 в крови);</w:t>
      </w:r>
      <w:r>
        <w:rPr>
          <w:highlight w:val="white"/>
        </w:rPr>
      </w:r>
      <w:r/>
    </w:p>
    <w:p>
      <w:pPr>
        <w:pStyle w:val="1048"/>
        <w:ind w:firstLine="720"/>
        <w:jc w:val="both"/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- за единицу объема медицинской помощи – медицинскую услугу при проведении теста с 6-минутной ходьбой (при исходной сатурации кислорода 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крови 95 процентов и больше в сочетании с наличием у гражданина жалоб на одышку, отеки, которые появились впервые или повысилась их интенсивность), определении концентрации Д-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димера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 в крови у граждан, перенесших среднюю степень тяжести и выше новой коронав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ирусной инфекции (COVID-19);</w:t>
      </w:r>
      <w:r>
        <w:rPr>
          <w:highlight w:val="white"/>
        </w:rPr>
      </w:r>
      <w:r/>
    </w:p>
    <w:p>
      <w:pPr>
        <w:pStyle w:val="1048"/>
        <w:ind w:firstLine="720"/>
        <w:jc w:val="both"/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в рамках 2 этапа углубленной диспансеризации - за единицу объема медицинской помощи – медицинскую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 услугу.</w:t>
      </w:r>
      <w:r>
        <w:rPr>
          <w:highlight w:val="white"/>
        </w:rPr>
      </w:r>
      <w:r/>
    </w:p>
    <w:p>
      <w:pPr>
        <w:pStyle w:val="1048"/>
        <w:ind w:firstLine="720"/>
        <w:jc w:val="both"/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pStyle w:val="1048"/>
        <w:ind w:firstLine="720"/>
        <w:jc w:val="both"/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Оп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лата за комплексное посещение, включающее измерение насыщения крови кислородом (сатурация) в покое, проведение спирометрии или спирографии, общий (клинический) анализ крови развернутый, биохимический анализ крови (включая исследования уровня холестерина, у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ровня липопротеинов низкой плотности, C-реактивного белка, определение активности 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аланинаминотрансферазы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 в крови, определение активности 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аспартатаминотрансферазы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 в крови, определение активности 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лактатдегидрогеназы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 в крови, исследование уровня 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креатинина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 в 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крови) осуществляется в случае выполнения 100% исследований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 и медицинских вмешательств, предусмотренных комплексным посещением. В случае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 w:eastAsia="Times New Roman"/>
          <w:b w:val="0"/>
          <w:sz w:val="28"/>
          <w:szCs w:val="28"/>
          <w:highlight w:val="white"/>
        </w:rPr>
        <w:t xml:space="preserve"> если отдельные исследования и/или медицинские вмешательства не были выполнены, оплата такого случая не осуществляется.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Оплата реестров медицинской помощи по проведению углубленной диспансеризации граждан, переболевших новой коронавирусной инфекцией (covid-19) осуществляется из средств, не входящих в расчет финансового обеспечения по подушевому нормативу медицинских орган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изаций.</w:t>
      </w:r>
      <w:r>
        <w:rPr>
          <w:rFonts w:ascii="Times New Roman" w:hAnsi="Times New Roman" w:cs="Times New Roman" w:eastAsia="Times New Roman"/>
          <w:sz w:val="28"/>
          <w:szCs w:val="24"/>
          <w:highlight w:val="white"/>
        </w:rPr>
        <w:tab/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4"/>
          <w:szCs w:val="24"/>
          <w:highlight w:val="white"/>
        </w:rPr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2.2.1.9. Порядок оплаты диспансеризации пребывающих в стационарных учреждениях детей-сирот и детей, находящихся в трудной жизненной ситуации</w:t>
      </w:r>
      <w:r>
        <w:rPr>
          <w:highlight w:val="white"/>
        </w:rPr>
      </w:r>
      <w:r/>
    </w:p>
    <w:p>
      <w:pPr>
        <w:jc w:val="center"/>
        <w:rPr>
          <w:rFonts w:ascii="Times New Roman" w:hAnsi="Times New Roman" w:cs="Times New Roman" w:eastAsia="Times New Roman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4"/>
          <w:szCs w:val="24"/>
          <w:highlight w:val="white"/>
        </w:rPr>
      </w:r>
      <w:r>
        <w:rPr>
          <w:highlight w:val="white"/>
        </w:rPr>
      </w:r>
      <w:r/>
    </w:p>
    <w:p>
      <w:pPr>
        <w:ind w:firstLine="567"/>
        <w:jc w:val="both"/>
        <w:widowControl w:val="off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Диспансеризация пребывающих в стационарных учреждениях детей-сирот и детей, находящихся в трудной жизнен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ной ситуации осуществляется в соответствии с приказом Министерства здравоохранения Российской Федерации от 15.02.2013 № 72н.  </w:t>
      </w:r>
      <w:r>
        <w:rPr>
          <w:highlight w:val="white"/>
        </w:rPr>
      </w:r>
      <w:r/>
    </w:p>
    <w:p>
      <w:pPr>
        <w:ind w:right="40" w:firstLine="567"/>
        <w:jc w:val="both"/>
        <w:tabs>
          <w:tab w:val="left" w:pos="1037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Диспансеризация представляет собой комплекс мероприятий, в том числе медицинский осмотр врачами нескольких специальностей и применение необходимых методов обследования, и осуществляется в отношении пребывающих в стационарных учреждениях детей-сирот и детей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, находящихся в трудной жизненной ситуации.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На оплату в СМО предоставляется законченный случай проведения диспансеризации в случае выполнения установленного объема обследования не менее 100 %.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Незаконченные случаи диспансеризации не подлежат оплате по тари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фам на проведение диспансеризации пребывающих в стационарных учреждениях детей-сирот и детей, находящихся в трудной жизненной ситуации.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Медицинские организации формируют счета и реестры счетов на медицинские услуги по проведению диспансеризации и выставляю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 на оплату в страховые медицинские организации.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         Формирование реестров осуществляется в соответствии со «Справочником медицинских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услуг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на проведение диспансеризации пребывающих в стационарных учреждениях детей-сирот и детей, находящихся в трудной жизненной ситуации».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trike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Оплата реестров медицинской помощи по проведению диспансеризации осуществляется из средств,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входящих в расчет финансов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ого обеспечения по подушевому нормативу медицинских организаций</w:t>
      </w:r>
      <w:r>
        <w:rPr>
          <w:rFonts w:ascii="Times New Roman" w:hAnsi="Times New Roman" w:cs="Times New Roman" w:eastAsia="Times New Roman"/>
          <w:strike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2.2.1.10. Порядок оплаты диспансеризации детей-сирот и детей, оставшихся без попечения родите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лей, в том числе усыновленных (удочеренных), принятых под опеку (попечительство), в приемную или патронатную семью</w:t>
      </w:r>
      <w:r>
        <w:rPr>
          <w:highlight w:val="white"/>
        </w:rPr>
      </w:r>
      <w:r/>
    </w:p>
    <w:p>
      <w:pPr>
        <w:jc w:val="center"/>
        <w:rPr>
          <w:rFonts w:ascii="Times New Roman" w:hAnsi="Times New Roman" w:cs="Times New Roman" w:eastAsia="Times New Roman"/>
          <w:sz w:val="22"/>
          <w:szCs w:val="2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highlight w:val="white"/>
        </w:rPr>
      </w:r>
      <w:bookmarkStart w:id="0" w:name="gjdgxs"/>
      <w:r>
        <w:rPr>
          <w:highlight w:val="white"/>
        </w:rPr>
      </w:r>
      <w:bookmarkEnd w:id="0"/>
      <w:r>
        <w:rPr>
          <w:highlight w:val="white"/>
        </w:rPr>
      </w:r>
      <w:r/>
    </w:p>
    <w:p>
      <w:pPr>
        <w:ind w:firstLine="567"/>
        <w:jc w:val="both"/>
        <w:widowControl w:val="off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Диспансеризации детей-сирот и детей, оставшихся без попечения родителей, в том числе усыновленных (удочеренных), принятых под опеку (попечит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ельство), в приемную или патронатную семью осуществляется в соответствии с приказом  Министерства здравоохранения Российской Федерации от 11.04.2013 № 216н.</w:t>
      </w:r>
      <w:r>
        <w:rPr>
          <w:highlight w:val="white"/>
        </w:rPr>
      </w:r>
      <w:r/>
    </w:p>
    <w:p>
      <w:pPr>
        <w:ind w:firstLine="567"/>
        <w:jc w:val="both"/>
        <w:widowControl w:val="off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Диспансеризация представляет собой комплекс мероприятий, в том числе медицинский осмотр врачами нескольких специальностей и применение необходимых методов обследования, и осуществляется в отношении детей-сирот и детей, оставшихся без попечения родителей.</w:t>
      </w:r>
      <w:r>
        <w:rPr>
          <w:highlight w:val="white"/>
        </w:rPr>
      </w:r>
      <w:r/>
    </w:p>
    <w:p>
      <w:pPr>
        <w:ind w:firstLine="540"/>
        <w:jc w:val="both"/>
        <w:widowControl w:val="off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 оплату в СМО предоставляется законченный случай проведения диспансеризации в случае выполнения установленного объема обследования не менее 100 %.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Незаконченные случаи диспансеризации не подлежат оплате по тарифам на проведение диспансеризации детей-сирот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семью.</w:t>
      </w:r>
      <w:r>
        <w:rPr>
          <w:highlight w:val="white"/>
        </w:rPr>
      </w:r>
      <w:r/>
    </w:p>
    <w:p>
      <w:pPr>
        <w:ind w:firstLine="56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Медицинские организации формируют счета и реестры счетов на медицинские услуги по проведению диспан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серизации и выставляют их на оплату в страховые медицинские организации.</w:t>
      </w:r>
      <w:r>
        <w:rPr>
          <w:highlight w:val="white"/>
        </w:rPr>
      </w:r>
      <w:r/>
    </w:p>
    <w:p>
      <w:pPr>
        <w:ind w:firstLine="56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Формирование реестров осуществляется в соответствии со «Справочником медицинских услуг на проведение диспансеризации детей-сирот и детей, оставшихся без попечения родителей, в том чис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ле усыновленных (удочеренных), принятых под опеку (попечительство), в приемную или патронатную семью».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trike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Оплата реестров медицинской помощи по проведению диспансеризации осуществляется из средств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входящих в расчет финансового обеспечения по подушевому нормативу медицинских организаций</w:t>
      </w:r>
      <w:r>
        <w:rPr>
          <w:rFonts w:ascii="Times New Roman" w:hAnsi="Times New Roman" w:cs="Times New Roman" w:eastAsia="Times New Roman"/>
          <w:strike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2.2.1.11. Порядок оплаты профилактических медицинских осмотров несовершеннолетних</w:t>
      </w:r>
      <w:r>
        <w:rPr>
          <w:highlight w:val="white"/>
        </w:rPr>
      </w:r>
      <w:r/>
    </w:p>
    <w:p>
      <w:pPr>
        <w:jc w:val="center"/>
        <w:rPr>
          <w:rFonts w:ascii="Times New Roman" w:hAnsi="Times New Roman" w:cs="Times New Roman" w:eastAsia="Times New Roman"/>
          <w:sz w:val="22"/>
          <w:szCs w:val="2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2"/>
          <w:szCs w:val="22"/>
          <w:highlight w:val="white"/>
        </w:rPr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Медицинские осмотры несовершеннолетних осуществляются в соответствии с приказом М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инистерства здравоохранения РФ от 10.08.2017 № 514</w:t>
      </w:r>
      <w:bookmarkStart w:id="1" w:name="30j0zll"/>
      <w:r>
        <w:rPr>
          <w:highlight w:val="white"/>
        </w:rPr>
      </w:r>
      <w:bookmarkEnd w:id="1"/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Профилактические осмотры проводятся в установленные возрастные периоды в целях раннего (своевременного) выявления патологических состояний, заболеваний и факторов риска их развития, а также в целях опред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еления групп здоровья и выработки рекомендаций для несовершеннолетних и их родителей или иных законных представителей.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Медицинские организации формируют счета и реестры счетов на медицинские услуги по проведению медицинских осмотров несовершеннолетним и выставляют их на оплату в страховые медицинские организации.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          Формирование реестров осуществляется в соответств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ии со «Справочником медицинских услуг по проведению медицинских осмотров несовершеннолетним».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trike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Оплата реестров медицинской помощи по проведению медицинских осмотров осуществляется из средств,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входящих в расчет финансового обеспечения по подушевому нормат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иву медицинских организаций.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</w:r>
      <w:r>
        <w:rPr>
          <w:highlight w:val="white"/>
        </w:rPr>
      </w:r>
      <w:r/>
    </w:p>
    <w:p>
      <w:pPr>
        <w:ind w:right="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2.2.1.12.  Оплата диализа в амбулаторных условиях</w:t>
      </w:r>
      <w:r>
        <w:rPr>
          <w:highlight w:val="white"/>
        </w:rPr>
      </w:r>
      <w:r/>
    </w:p>
    <w:p>
      <w:pPr>
        <w:ind w:left="20" w:right="20" w:firstLine="700"/>
        <w:jc w:val="center"/>
        <w:rPr>
          <w:rFonts w:ascii="Times New Roman" w:hAnsi="Times New Roman" w:cs="Times New Roman" w:eastAsia="Times New Roman"/>
          <w:sz w:val="22"/>
          <w:szCs w:val="2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2"/>
          <w:szCs w:val="22"/>
          <w:highlight w:val="white"/>
        </w:rPr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При проведении диализа в амбулаторных условиях оплата осуществляется за медицинскую услугу – одну процедуру экстракорпорального диализа и один день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перитонеального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диализа. 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При оплате медицинской помощи, как одно обращение учитываются: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при проведении амбулаторного гемодиализа - лечение в течение одного месяца;  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при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перитонеальном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диализе - ежедневные обмены с эффективным объемом диализата, в течение месяца. 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При проведении д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иализа в амбулаторных условиях обеспечение лекарственными препаратами для профилактики осложнений осуществляется за счет других источников.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На проведение услуг диализа установлены единые тарифы для всех медицинских организаций независимо от уровня оказания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медицинской помощи.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Оплата осуществляется из средств, не входящих в расчет финансового обеспечения по подушевым нормативам финансирования медицинских организаций.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left="20" w:right="20"/>
        <w:jc w:val="both"/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2.2.1.13. Оплата за проведение позитронной эмиссионной томографии, совмещенной с компьютерной томографией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 соответствии с Методическими рекомендациями Министерства здравоохранения Российской Федерации и Федерального фонда обязательного медицинского страх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ования «Методические рекомендации по способам оплаты медицинской помощи за счет средств обязательного медицинского страхования» оплата за проведение позитронной эмиссионной томографии, совмещенной с компьютерной томографией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(ПЭТ КТ) осуществляется</w:t>
      </w:r>
      <w:r>
        <w:rPr>
          <w:rFonts w:ascii="Times New Roman" w:hAnsi="Times New Roman" w:cs="Times New Roman"/>
          <w:spacing w:val="-18"/>
          <w:sz w:val="28"/>
          <w:szCs w:val="28"/>
          <w:highlight w:val="white"/>
        </w:rPr>
        <w:t xml:space="preserve">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амбулаторных условиях.</w:t>
      </w:r>
      <w:r>
        <w:rPr>
          <w:highlight w:val="white"/>
        </w:rPr>
      </w:r>
      <w:r/>
    </w:p>
    <w:p>
      <w:pPr>
        <w:ind w:left="20" w:right="20"/>
        <w:jc w:val="both"/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left="20" w:right="20"/>
        <w:jc w:val="both"/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2.2.1.14. Оплата за проведение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медицинской реабилитации в амбулаторных условиях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Оплата медицинской реабилитации в амбулаторных условиях, включая реабилитацию пациентов после перенесенной новой ко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ронавирусной инфекции (COVID-19), осуществляется вне подушевого норматива финансирования на прикрепившихся лиц к медицинской организации, исходя из установленных Территориальной программой государственных гарантий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br/>
        <w:t xml:space="preserve">в соответствии с Программой территориальн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ых нормативов объема и финансовых затрат на единицу объема для медицинской реабилитации.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При этом комплексное посещение, как законченный случай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br/>
        <w:t xml:space="preserve">медицинской реабилитации в амбулаторных условиях, включает в среднем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br/>
        <w:t xml:space="preserve">10–12 посещений. 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Оплата медицинской реаб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илитации в амбулаторных условиях осуществляется дифференцированно, в зависимости от оценки состояния пациента по ШРМ (2–3 балла) и заболевания (профиля заболевания), по поводу которого проводится медицинская реабилитация.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Оплате за комплексное посещение по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длежит законченный случай медицинской реабилитации в амбулаторных условиях. Комплексное посещение включает набор необходимых консультаций специалистов, а также проведение методов реабилитации, определенных программами реабилитации. При этом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по решению леч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ащего врача консультация отдельных специалистов в рамках комплексного посещения может осуществляться в том числе с использованием телемедицинских технологий (1-2 посещения).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Оплата осуществляется из средств, не входящих в расчет финансового обеспечения по подушевым нормативам финансирования медицинских организаций.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left="20" w:right="20"/>
        <w:jc w:val="both"/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2.2.1.15. Оплата за проведение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диспансерного наблюдения</w:t>
      </w:r>
      <w:r>
        <w:rPr>
          <w:highlight w:val="white"/>
        </w:rPr>
      </w:r>
      <w:r/>
    </w:p>
    <w:p>
      <w:pPr>
        <w:ind w:left="20" w:right="20"/>
        <w:jc w:val="both"/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pStyle w:val="1044"/>
        <w:ind w:firstLine="567"/>
        <w:jc w:val="both"/>
        <w:rPr>
          <w:rFonts w:ascii="Times New Roman" w:hAnsi="Times New Roman" w:cs="Times New Roman"/>
          <w:color w:val="000000"/>
          <w:sz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Оплата случаев диспансерного наблюдения отдельных категорий граждан из числа взрослого населения по профилям и заболеваниям, установленным Приказом Министерства здравоохранения Российской Федерации 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от 15.03.2022 № 168н «Об утверждении порядка проведения диспансерного наблюдения за взрослыми» 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ос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уществляется за комплексное посещение, включающее стоимость посещения врача, проводящего диспансерное наблюдение, а также усредненную стоимость лабораторных и диагностических исследований, предусмотренных порядком 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проведения диспансерного наблюдения, утвержденным уполномоченным федеральным органом исполнительной власти в сфере охраны здоровья.</w:t>
      </w:r>
      <w:r>
        <w:rPr>
          <w:highlight w:val="white"/>
        </w:rPr>
      </w:r>
      <w:r/>
    </w:p>
    <w:p>
      <w:pPr>
        <w:pStyle w:val="1044"/>
        <w:ind w:firstLine="567"/>
        <w:jc w:val="both"/>
        <w:rPr>
          <w:rFonts w:ascii="Times New Roman" w:hAnsi="Times New Roman" w:cs="Times New Roman"/>
          <w:color w:val="000000"/>
          <w:sz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Тарифы на оплату диспансерного наблюдения 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установленны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 дифференцировано в зависимости от профиля врача, проводящего диспансе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рное наблюдение.</w:t>
      </w:r>
      <w:r>
        <w:rPr>
          <w:highlight w:val="white"/>
        </w:rPr>
      </w:r>
      <w:r/>
    </w:p>
    <w:p>
      <w:pPr>
        <w:pStyle w:val="1044"/>
        <w:ind w:firstLine="567"/>
        <w:jc w:val="both"/>
        <w:rPr>
          <w:rFonts w:ascii="Times New Roman" w:hAnsi="Times New Roman" w:cs="Times New Roman"/>
          <w:color w:val="000000"/>
          <w:sz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Оплата осуществляется из средств, не входящих в расчет финансового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обеспечения по подушевым нормативам финансирования медицинских организаций.</w:t>
      </w:r>
      <w:r>
        <w:rPr>
          <w:highlight w:val="white"/>
        </w:rPr>
      </w:r>
      <w:r/>
    </w:p>
    <w:p>
      <w:pPr>
        <w:pStyle w:val="1044"/>
        <w:ind w:firstLine="567"/>
        <w:jc w:val="both"/>
        <w:rPr>
          <w:rFonts w:ascii="Times New Roman" w:hAnsi="Times New Roman" w:cs="Times New Roman"/>
          <w:color w:val="000000"/>
          <w:sz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Оплата случаев диспансерного наблюдения детского населения, а также взрослого населения по профилям и заболеваниям, не предусмотренным Приказом Министерства здравоохранения Российской Федерации 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от 15.03.2022 № 168н «Об утверждении порядка проведения диспансерного наблюдения за взрослыми» 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ос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уществляется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из средств, включенных в расчет подушевых нормативов финансирования амбулаторной медицинской помощи, по тарифам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обращения в связи с заболеванием для соответствующего профиля.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Для медицинских организаций, не имеющих прикрепившихся лиц оплата таких случае осуществляется за единицу объема (обращение).</w:t>
      </w:r>
      <w:r>
        <w:rPr>
          <w:highlight w:val="white"/>
        </w:rPr>
      </w:r>
      <w:r/>
    </w:p>
    <w:p>
      <w:pPr>
        <w:pStyle w:val="1044"/>
        <w:ind w:firstLine="567"/>
        <w:jc w:val="both"/>
        <w:rPr>
          <w:rFonts w:ascii="Times New Roman" w:hAnsi="Times New Roman" w:cs="Times New Roman"/>
          <w:b/>
          <w:color w:val="000000"/>
          <w:sz w:val="28"/>
          <w:highlight w:val="white"/>
        </w:rPr>
      </w:pPr>
      <w:r>
        <w:rPr>
          <w:rFonts w:ascii="Times New Roman" w:hAnsi="Times New Roman" w:cs="Times New Roman"/>
          <w:b/>
          <w:color w:val="000000"/>
          <w:sz w:val="28"/>
          <w:highlight w:val="white"/>
        </w:rPr>
      </w:r>
      <w:r>
        <w:rPr>
          <w:highlight w:val="white"/>
        </w:rPr>
      </w:r>
      <w:r/>
    </w:p>
    <w:p>
      <w:pPr>
        <w:ind w:left="20" w:right="20"/>
        <w:jc w:val="both"/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2.2.1.16. Оплата за проведение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школы сахарного диабета</w:t>
      </w:r>
      <w:r>
        <w:rPr>
          <w:highlight w:val="white"/>
        </w:rPr>
      </w:r>
      <w:r/>
    </w:p>
    <w:p>
      <w:pPr>
        <w:ind w:left="20" w:right="20"/>
        <w:jc w:val="both"/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 целях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повышения эффективности расходования средств обязательного медицинского страхования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оплата посещений школы сахарного диабета осуществляется за единицу объема медицинской помощи вне подушевого норматива финансирования. Медицинскую помощь в рамках школ сахар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ного диабета оплачивается за единицу объема – комплексное посещение, включающее от 15 до 20 часов занятий в рамках школы сахарного диабета, а также проверку дневников самоконтроля. </w:t>
      </w:r>
      <w:r>
        <w:rPr>
          <w:highlight w:val="white"/>
        </w:rPr>
      </w:r>
      <w:r/>
    </w:p>
    <w:p>
      <w:pPr>
        <w:ind w:left="20" w:right="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ab/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Тарифы на комплексное посещение в школе сахарного диабета установлены в з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ависимости от типа сахарного диабета, а так же возраста пациента.</w:t>
      </w:r>
      <w:r>
        <w:rPr>
          <w:highlight w:val="white"/>
        </w:rPr>
      </w:r>
      <w:r/>
    </w:p>
    <w:p>
      <w:pPr>
        <w:ind w:left="20" w:right="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  <w:t xml:space="preserve">Тариф на проведение комплексного посещения школы сахарного диабета в среднем включает:</w:t>
      </w:r>
      <w:r>
        <w:rPr>
          <w:highlight w:val="white"/>
        </w:rPr>
      </w:r>
      <w:r/>
    </w:p>
    <w:p>
      <w:pPr>
        <w:ind w:left="20" w:right="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  <w:t xml:space="preserve">- для взрослых с сахарным диабетом 1 типа – 5  занятий продолжительностью 4 часа, а также проверка д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невников самоконтроля;</w:t>
      </w:r>
      <w:r>
        <w:rPr>
          <w:highlight w:val="white"/>
        </w:rPr>
      </w:r>
      <w:r/>
    </w:p>
    <w:p>
      <w:pPr>
        <w:ind w:left="20" w:right="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  <w:t xml:space="preserve">- для взрослых с сахарным диабетом 2 типа – 5  занятий продолжительностью 3 часа, а также проверка дневников самоконтроля;</w:t>
      </w:r>
      <w:r>
        <w:rPr>
          <w:highlight w:val="white"/>
        </w:rPr>
      </w:r>
      <w:r/>
    </w:p>
    <w:p>
      <w:pPr>
        <w:ind w:left="20" w:right="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  <w:t xml:space="preserve">- для детей и подростков с сахарным диабетом - 10 занятий продолжительностью 2 часа, а также проверка дневни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ков самоконтроля.</w:t>
      </w:r>
      <w:r>
        <w:rPr>
          <w:highlight w:val="white"/>
        </w:rPr>
      </w:r>
      <w:r/>
    </w:p>
    <w:p>
      <w:pPr>
        <w:ind w:left="20" w:right="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2.3. Оплата медицинской помощи, оказанной в круглосуточных стационарах</w:t>
      </w:r>
      <w:r>
        <w:rPr>
          <w:highlight w:val="white"/>
        </w:rPr>
      </w:r>
      <w:r/>
    </w:p>
    <w:p>
      <w:pPr>
        <w:ind w:firstLine="851"/>
        <w:jc w:val="center"/>
        <w:rPr>
          <w:rFonts w:ascii="Times New Roman" w:hAnsi="Times New Roman" w:cs="Times New Roman" w:eastAsia="Times New Roman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4"/>
          <w:szCs w:val="24"/>
          <w:highlight w:val="white"/>
        </w:rPr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Перечень стационаров медицинских организаций в разрезе уровней оказания медицинской помощи представлен в приложении № 4 к Тарифному соглашению.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2.3.1. Порядок оплаты медицинской помощи, оказанной в круглосуточных стационарах</w:t>
      </w:r>
      <w:r>
        <w:rPr>
          <w:highlight w:val="white"/>
        </w:rPr>
      </w:r>
      <w:r/>
    </w:p>
    <w:p>
      <w:pPr>
        <w:ind w:firstLine="851"/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При оплате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медицинской помощи, оказанной в стационарных условиях применяются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следующие способы оплаты: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  <w:t xml:space="preserve">за случай госпитализации (</w:t>
      </w:r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  <w:t xml:space="preserve">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в том числе в сочетании с оплатой за услугу диализа;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  <w:t xml:space="preserve">за прерванный случай госпитализации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</w:t>
      </w:r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  <w:t xml:space="preserve">ной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</w:t>
      </w:r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  <w:t xml:space="preserve">для оплаты схемой ле</w:t>
      </w:r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  <w:t xml:space="preserve">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</w:t>
      </w:r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  <w:t xml:space="preserve">писки пациента из медицинской организации в случае его письменного отказа от дальнейшего лечения, летального исхода, выписки пациента до истечения 3-х дней (включительно) со дня госпитализации (начала лечения), за</w:t>
      </w:r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  <w:t xml:space="preserve">исключением случаев оказания медицинской п</w:t>
      </w:r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  <w:t xml:space="preserve">омощи по группам заболеваний, состояний, приведенных в </w:t>
      </w:r>
      <w:hyperlink r:id="rId15" w:tooltip="https://login.consultant.ru/link/?req=doc&amp;base=LAW&amp;n=436688&amp;date=24.01.2023&amp;dst=108949&amp;field=134" w:history="1">
        <w:r>
          <w:rPr>
            <w:rFonts w:ascii="Times New Roman" w:hAnsi="Times New Roman" w:cs="Times New Roman" w:eastAsia="Times New Roman"/>
            <w:sz w:val="28"/>
            <w:szCs w:val="24"/>
            <w:highlight w:val="white"/>
            <w:lang w:bidi="ru-RU"/>
          </w:rPr>
          <w:t xml:space="preserve">приложении № 5</w:t>
        </w:r>
      </w:hyperlink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  <w:t xml:space="preserve"> к Программе государственных гарантий бесплатного оказания гражданам медицинской помощи на 2023 год и на плановый период 2024 и 2025 годов, утвержденной постановлением Правительства Российской Федерации от 29.12.2022 года № 2497</w:t>
      </w:r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  <w:t xml:space="preserve">, в том числе в сочетании с оплатой за услугу диализа.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both"/>
        <w:widowControl w:val="off"/>
        <w:tabs>
          <w:tab w:val="left" w:pos="851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  <w:t xml:space="preserve">Оплата за счет средств обязательного медицинского страхования медицинской помощи, оказанной в стационарных условиях, по КСГ осуществляется во всех страховых случаях, за исключением:</w:t>
      </w:r>
      <w:r>
        <w:rPr>
          <w:highlight w:val="white"/>
        </w:rPr>
      </w:r>
      <w:r/>
    </w:p>
    <w:p>
      <w:pPr>
        <w:ind w:right="-58"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заболеваний, пр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 лечении которых применяются виды и методы медицинской помощи по перечню видов высокотехнологичной медицинской помощи, включенных в базовую программу обязательного медицинского страхования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,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на которые установлены нормативы финансовых затрат на единицу объ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ема медицинской помощи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ind w:right="-58"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услуг диализа, включающих различные методы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ind w:right="-58"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right="-58"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</w:rPr>
        <w:t xml:space="preserve">В с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лечения, включенного в Перечень видов ВМП,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включенных в базовую программу обязательного медицинского страх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ования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, либо после оказания высокотехнологичной медицинской помощи определяются показания к оказанию специализированной медицинской помощи, указанные случаи оплачиваются дважды, в рамках специализированной медицинской помощи по соответствующей КСГ, а в рам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ках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 высокотехнологичной медицинской помощи по нормативу (среднему нормативу) финансовых затрат на единицу объема медицинской помощи. При этом предоперационный и послеоперационный период включается в законченный случай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лечения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 как для специализированной, та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к и для высокотехнологичной медицинской помощи, и не может быть представлен к оплате по второму тарифу. </w:t>
      </w:r>
      <w:r>
        <w:rPr>
          <w:highlight w:val="white"/>
        </w:rPr>
      </w:r>
      <w:r/>
    </w:p>
    <w:p>
      <w:pPr>
        <w:ind w:right="-58" w:firstLine="708"/>
        <w:jc w:val="both"/>
        <w:rPr>
          <w:rFonts w:ascii="Times New Roman" w:hAnsi="Times New Roman" w:cs="Times New Roman" w:eastAsia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</w:rPr>
        <w:t xml:space="preserve">Медицинская помощь в неотложной и экстренной формах, а также медицинская реабилитация в соответствии с порядками оказания медицинской помощи, на основе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 клинических рекомендаций и с учетом стандартов медицинской помощи, может быть предоставлена родителям (законным представителям), госпитализированным по уходу за детьми, страдающими тяжелыми хроническими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инвалидизирующими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 заболеваниями, требующими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сверхдли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тельных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 сроков лечения, при оказании детям специализированной либо высокотехнологичной медицинской помощи и оплачивается медицинским организациям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 педиатрического профиля, имеющим необходимые лицензии, в соответствии с установленными способами оплаты.</w:t>
      </w:r>
      <w:r>
        <w:rPr>
          <w:highlight w:val="white"/>
        </w:rPr>
      </w:r>
      <w:r/>
    </w:p>
    <w:p>
      <w:pPr>
        <w:ind w:right="-58" w:firstLine="708"/>
        <w:jc w:val="both"/>
        <w:rPr>
          <w:rFonts w:ascii="Times New Roman" w:hAnsi="Times New Roman" w:cs="Times New Roman" w:eastAsia="Times New Roman"/>
          <w:sz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</w:rPr>
        <w:t xml:space="preserve">Отнесение случая оказания медицинской помощи </w:t>
      </w:r>
      <w:r>
        <w:rPr>
          <w:rFonts w:ascii="Times New Roman" w:hAnsi="Times New Roman" w:cs="Times New Roman" w:eastAsia="Times New Roman"/>
          <w:sz w:val="28"/>
          <w:highlight w:val="white"/>
        </w:rPr>
        <w:br/>
        <w:t xml:space="preserve">к высокотехнологичной медицинской помощи осуществляется при соответствии наименования вида высокотехнологичной медицинской помощи, кодов МКБ–10, модели пациента, вида и метода лечения аналогичным параметрам, ус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тановленным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 Программе государственных гарантий бесплатного оказания гражданам медицинской помощи на 2023 год и плановый период 2024 и 2025 годов, в рамках перечня видов высокотехнологичной медицинской помощи,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содержащего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 том числе методы лечения и исто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чники финансового обеспечения высокотехнологичной медицинской помощи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ind w:right="-58"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</w:rPr>
        <w:t xml:space="preserve">Оплата видов высокотехнологичной медицинской помощи, включенных в базовую программу, осуществляется по нормативам финансовых затрат на единицу объема предоставления медицинской помощи, у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твержденным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Программе государственных гарантий бесплатного оказания гражданам медицинской помощи на 2023 год и плановый период 2024 и 2025 годов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ind w:right="-58" w:firstLine="708"/>
        <w:jc w:val="both"/>
        <w:rPr>
          <w:rFonts w:ascii="Times New Roman" w:hAnsi="Times New Roman" w:cs="Times New Roman" w:eastAsia="Times New Roman"/>
          <w:sz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</w:rPr>
        <w:t xml:space="preserve">В случае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,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 если хотя бы один из вышеуказанных параметров не соответствует Перечню ВМП, оплата случая оказания м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(или) других применяемых медицинских технологий.</w:t>
      </w:r>
      <w:r>
        <w:rPr>
          <w:highlight w:val="white"/>
        </w:rPr>
      </w:r>
      <w:r/>
    </w:p>
    <w:p>
      <w:pPr>
        <w:ind w:right="-58"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Высокотехнологичная медицинская помощь, оказывается в ме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дицинских организациях Липецкой области, медицинских организациях других субъектов РФ. </w:t>
      </w:r>
      <w:r>
        <w:rPr>
          <w:highlight w:val="white"/>
        </w:rPr>
      </w:r>
      <w:r/>
    </w:p>
    <w:p>
      <w:pPr>
        <w:ind w:left="40" w:right="20" w:firstLine="7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Оплата высокотехнологичной медицинской помощи, оказанной в медицинских организациях других субъектов РФ, осуществляется в рамках межтерриториальных взаиморасчетов в соо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тветствии с Правилами.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 случае, если во время оказания высокотехнологичной медицинской помощи пациенту проводились услуги диализа, оплата таких услуг осуществляется по соответствующим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тарифам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дифференцированным в зависимости от метода проведения диализа.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Формирование КСГ осуществляется на основе совокупности следующих параметров, определяющих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относительную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затратоемкость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лечения пациентов (классификационных критериев):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a. Диагноз (код по МКБ 10);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b. 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Хирургическая операция и (или) другая применяемая медици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нская технология (код в соответствии с Номенклатурой медицинских услуг, утвержденной приказом Министерства здравоохранения Российской Федерации от 13.10.2017 № 804н (далее – Номенклатура), а также, при необходимости, конкретизация медицинской услуги в зави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симости от особенностей ее исполнения (иной классификационный критерий);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c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 Схема лекарственной терапии;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d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 МНН лекарственного препарата;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e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 Возрастная категория пациента;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f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 Сопутствующий диагноз и/или осложнения заболевания (код по МКБ 10);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g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 Оценка сос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тояния пациента по шкалам: шкала оценки органной недостаточности у пациентов, находящихся на интенсивной терапии (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Sequential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Organ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Failure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Assessment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SOFA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), шкала оценки органной недостаточности у пациентов детского возраста, находящихся на интенсивной те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рапии (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Pediatric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Sequential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Organ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Failure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Assessment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pSOFA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), шкала реабилитационной маршрутизации; индекс оценки тяжести и распространенности псориаза (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Psoriasis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Area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Severity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Index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PASI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);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h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 Длительность непрерывного проведения ресурсоемких медицинских услуг (искусственной вентиляции легких, видео-ЭЭГ-мониторинга</w:t>
      </w:r>
      <w:r>
        <w:rPr>
          <w:rFonts w:ascii="Times New Roman" w:hAnsi="Times New Roman" w:cs="Times New Roman" w:eastAsia="Times New Roman"/>
          <w:bCs/>
          <w:sz w:val="28"/>
          <w:szCs w:val="28"/>
          <w:highlight w:val="white"/>
        </w:rPr>
        <w:t xml:space="preserve">)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i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 Количество дней проведения лучевой терапии (фракций);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j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 Пол;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k. Длительность лечения;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l. Этап лечения, в том числе, долечива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ние пациентов с коронавирусной инфекцией COVID-19,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посттрансплантационный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период после пересадки костного мозга;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m. Показания к применению лекарственного препарата;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n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Объем послеоперационных грыж брюшной стенки;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o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 Степень тяжести заболевания;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p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 Сочетани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 нескольких классификационных критериев в рамках одного классификационного критерия (например, сочетание оценки состояния пациента по шкале реабилитационной маршрутизации с назначением ботулинического токсина).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Для оплаты случая лечения по КСГ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 качестве основного диагноза указывается код по МКБ 10, являющийся основным поводом к госпитализации.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Исключением являются случаи, осложненные сепсисом и фебрильной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нейтропенией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ind w:right="20" w:firstLine="700"/>
        <w:jc w:val="both"/>
        <w:rPr>
          <w:rFonts w:ascii="arimo" w:hAnsi="arimo" w:cs="arimo" w:eastAsia="arimo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При наличии хирургических операций и (или) других применяемых медицинских те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хнологий, являющихся классификационным критерием, отнесение случая лечения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конкретной КСГ осуществляется в соответствии с кодом Номенклатуры.</w:t>
      </w:r>
      <w:r>
        <w:rPr>
          <w:highlight w:val="white"/>
        </w:rPr>
      </w:r>
      <w:r/>
    </w:p>
    <w:p>
      <w:pPr>
        <w:ind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Порядок группировки случаев, правила учета дополнительных классификационных критериев, подробный алгоритм отнес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ения случаев лечения к конкретным КСГ, правила применения поправочных коэффициентов, </w:t>
      </w:r>
      <w:bookmarkStart w:id="2" w:name="_1fob9te"/>
      <w:r>
        <w:rPr>
          <w:highlight w:val="white"/>
        </w:rPr>
      </w:r>
      <w:bookmarkEnd w:id="2"/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особенности формирования отдельных КСГ, подходы к оплате отдельных случаев оказания медицинской помощи по КСГ, определены Методическими рекомендациями Министерства здравоо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хранения Российской Федерации и Федерального фонда обязательного медицинского страхования «Методические рекомендации по способам оплаты медицинской помощи за счет средств обязательного медицинского страхования».</w:t>
      </w:r>
      <w:r>
        <w:rPr>
          <w:highlight w:val="white"/>
        </w:rPr>
      </w:r>
      <w:r/>
    </w:p>
    <w:p>
      <w:pPr>
        <w:ind w:left="675"/>
        <w:jc w:val="center"/>
        <w:spacing w:line="276" w:lineRule="auto"/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Оплата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медицинской помощи, оказанной в круг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лосуточном стационаре производится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страховыми медицинскими организациями в пределах объемов и стоимости медицинских услуг, установленных Заданиями, утверждаемыми для МО Комиссией по разработке территориальной программы ОМС. 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2.4. Оплата медицинской помощи, оказанной в дневных стационарах</w:t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20"/>
        <w:jc w:val="both"/>
        <w:spacing w:after="36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Перечень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медицинских организаций, оказывающих медицинскую помощь в дневных стационарах в разрезе уровней оказания медицинской помощи представлен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 приложении № 5 к Тарифному соглашению.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2.4.1. Порядок оплаты медицинской помощи, оказанной в дневных стационарах</w:t>
      </w:r>
      <w:r>
        <w:rPr>
          <w:highlight w:val="white"/>
        </w:rPr>
      </w:r>
      <w:r/>
    </w:p>
    <w:p>
      <w:pPr>
        <w:ind w:firstLine="851"/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При оплате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медицинской помощи, оказанной в дневных стационарах применяются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следующие способы оплаты: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  <w:t xml:space="preserve">за случай (законченный случай) лечения заболевания, включенного в группу заболеваний, (в том числе клинико-статистическую группу заболеваний, группу высокотехнологичной медицинской помощи), за услугу диализа (в том числе в сочетании с оплатой по клинико-ст</w:t>
      </w:r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  <w:t xml:space="preserve">атистической группе заболеваний, группе высокотехнологичной медицинской помощи);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  <w:t xml:space="preserve">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</w:t>
      </w:r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  <w:t xml:space="preserve">, изменения условий оказания медицинской помощи пациенту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</w:t>
      </w:r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  <w:t xml:space="preserve">ым причинам оказана пациенту не в полном объеме по сравнению</w:t>
      </w:r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  <w:t xml:space="preserve">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</w:t>
      </w:r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  <w:t xml:space="preserve">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летального исхода, выписки пациента до истечения 3-х дней (включи</w:t>
      </w:r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  <w:t xml:space="preserve">тельно) со дня госпитализации (начала</w:t>
      </w:r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  <w:t xml:space="preserve">лечения), за исключением случаев оказания медицинской помощи по группам заболеваний, состояний, приведенных в </w:t>
      </w:r>
      <w:hyperlink r:id="rId16" w:tooltip="https://login.consultant.ru/link/?req=doc&amp;base=LAW&amp;n=436688&amp;date=24.01.2023&amp;dst=108949&amp;field=134" w:history="1">
        <w:r>
          <w:rPr>
            <w:rFonts w:ascii="Times New Roman" w:hAnsi="Times New Roman" w:cs="Times New Roman" w:eastAsia="Times New Roman"/>
            <w:sz w:val="28"/>
            <w:szCs w:val="24"/>
            <w:highlight w:val="white"/>
            <w:lang w:bidi="ru-RU"/>
          </w:rPr>
          <w:t xml:space="preserve">приложении N 5</w:t>
        </w:r>
      </w:hyperlink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  <w:t xml:space="preserve"> к Программе государственных гарантий бесплатного оказания гражданам медицинской помощи на 2023 год и на плановый период 2024 и 2025 го</w:t>
      </w:r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  <w:t xml:space="preserve">дов, утвержденной постановлением Правительства Российской Федерации от 29.12.2022 года № 2497, за услугу диализа (в том числе в сочетании с оплатой по клинико-статистической</w:t>
      </w:r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  <w:t xml:space="preserve"> группе заболеваний, группе высокотехнологичной медицинской помощи)</w:t>
      </w:r>
      <w:r>
        <w:rPr>
          <w:rFonts w:ascii="Times New Roman" w:hAnsi="Times New Roman" w:cs="Times New Roman" w:eastAsia="Times New Roman"/>
          <w:sz w:val="28"/>
          <w:highlight w:val="white"/>
          <w:lang w:bidi="ru-RU"/>
        </w:rPr>
        <w:t xml:space="preserve">.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</w:r>
      <w:r>
        <w:rPr>
          <w:highlight w:val="white"/>
        </w:rPr>
      </w:r>
      <w:r/>
    </w:p>
    <w:p>
      <w:pPr>
        <w:jc w:val="both"/>
        <w:widowControl w:val="off"/>
        <w:tabs>
          <w:tab w:val="left" w:pos="851" w:leader="none"/>
        </w:tabs>
        <w:rPr>
          <w:rFonts w:ascii="Times New Roman" w:hAnsi="Times New Roman" w:cs="Times New Roman" w:eastAsia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Оплата за счет средств обязательного медицинского страхования медицинской помощи, оказанной в условиях дневного стационара, по КСГ осуществляется во всех страховых случаях, за исключением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услуг диализа, включающих различные методы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4"/>
          <w:highlight w:val="white"/>
          <w:lang w:bidi="ru-RU"/>
        </w:rPr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Формирование КСГ осущес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твляется на основе совокупности следующих параметров, определяющих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относительную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затратоемкость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лечения пациентов (классификационных критериев):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a. Диагноз (код по МКБ 10);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b. 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Хирургическая операция и (или) другая применяемая медицинская технология (код в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соответствии с Номенклатурой, а также, при необходимости, конкретизация медицинской услуги в зависимости от особенностей ее исполнения (иной классификационный критерий);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c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 Схема лекарственной терапии;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d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 МНН лекарственного препарата;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e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 Возрастная категория пациента;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f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 Сопутствующий диагноз и/или осложнения заболевания (код по МКБ 10);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g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 Оценка состояния пациента по шкалам: шкала оценки органной недостаточности у пациентов, находящихся на интенсивной терапии (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Sequential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Organ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Failure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Assessment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SOFA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), шкала оценки органной недостаточности у пациентов детского возраста, находящихся на интенсивной терапии (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Pediatric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Sequential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Organ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Failure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Assessment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pSOFA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), шкала реабилитационной маршрутизации; индекс оценки тяжести и распространенно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сти псориаза (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Psoriasis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Area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Severity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Index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PASI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);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h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 Длительность непрерывного проведения ресурсоемких медицинских услуг (искусственной вентиляции легких, видео-ЭЭГ-мониторинга</w:t>
      </w:r>
      <w:r>
        <w:rPr>
          <w:rFonts w:ascii="Times New Roman" w:hAnsi="Times New Roman" w:cs="Times New Roman" w:eastAsia="Times New Roman"/>
          <w:bCs/>
          <w:sz w:val="28"/>
          <w:szCs w:val="28"/>
          <w:highlight w:val="white"/>
        </w:rPr>
        <w:t xml:space="preserve">)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i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 Количество дней проведения лучевой терапии (фракций);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j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 Пол;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k. Длительность лечения;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l. Этап лечения, в том числе этап проведения экстракорпорального оплодотворения, долечивание пациентов с коронавирусной инфекцией COVID-19,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посттрансплантационный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период после пересадки костного мозга;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m. Показания к применению лек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арственного препарата;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n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Объем послеоперационных грыж брюшной стенки;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o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 Степень тяжести заболевания;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  <w:lang w:val="en-US"/>
        </w:rPr>
        <w:t xml:space="preserve">p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 Сочетание нескольких классификационных критериев в рамках одного классификационного критерия (например, сочетание оценки состояния пациента по шкале р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еабилитационной маршрутизации с назначением ботулинического токсина).</w:t>
      </w:r>
      <w:r>
        <w:rPr>
          <w:highlight w:val="white"/>
        </w:rPr>
      </w:r>
      <w:r/>
    </w:p>
    <w:p>
      <w:pPr>
        <w:ind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Для оплаты случая лечения по КСГ в качестве основного диагноза указывается код по МКБ 10, являющийся основным поводом к госпитализации.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Исключением являются случаи, осложненные сепсисом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и фебрильной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нейтропенией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ind w:right="20" w:firstLine="700"/>
        <w:jc w:val="both"/>
        <w:rPr>
          <w:rFonts w:ascii="arimo" w:hAnsi="arimo" w:cs="arimo" w:eastAsia="arimo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При наличии хирургических операций и (или) других применяемых медицинских технологий, являющихся классификационным критерием, отнесение случая лечения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конкретной КСГ осуществляется в соответствии с кодом Номенклатуры.</w:t>
      </w:r>
      <w:r>
        <w:rPr>
          <w:highlight w:val="white"/>
        </w:rPr>
      </w:r>
      <w:r/>
    </w:p>
    <w:p>
      <w:pPr>
        <w:ind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Порядок группировки случаев, правила учета дополнительных классификационных критериев, подробный алгоритм отнесения случаев лечения к конкретным КСГ, правила применения поправочных коэффициентов, особенности формирования отдельных КСГ, подходы к оплате отд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ельных случаев оказания медицинской помощи по КСГ определены Методическими рекомендациями Министерства здравоохранения Российской Федерации и Федерального фонда обязательного медицинского страхования «Методические рекомендации по способам оплаты медицинско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й помощи за счет средств обязательного медицинского страхования».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Оплата производится страховыми медицинскими организациями в пределах объемов и стоимости медицинских услуг, установленных Заданиями, утверждаемыми для МО Комиссией по разработке территориальной программы ОМС. </w:t>
      </w:r>
      <w:r>
        <w:rPr>
          <w:highlight w:val="white"/>
        </w:rPr>
      </w:r>
      <w:r/>
    </w:p>
    <w:p>
      <w:pPr>
        <w:ind w:right="-58"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right="-58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2.5. Оплата скорой медицинской помощи</w:t>
      </w:r>
      <w:r>
        <w:rPr>
          <w:highlight w:val="white"/>
        </w:rPr>
      </w:r>
      <w:r/>
    </w:p>
    <w:p>
      <w:pPr>
        <w:ind w:right="-58" w:firstLine="720"/>
        <w:jc w:val="center"/>
        <w:rPr>
          <w:rFonts w:ascii="Times New Roman" w:hAnsi="Times New Roman" w:cs="Times New Roman" w:eastAsia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highlight w:val="white"/>
        </w:rPr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Перечень медицинских организаций (структурных подразделений медицинских организаций), оказывающих скорую медицинскую помощь в разрезе групп представлен в приложении № 6 к Тарифному соглашению.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2"/>
          <w:szCs w:val="2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2"/>
          <w:szCs w:val="22"/>
          <w:highlight w:val="white"/>
        </w:rPr>
      </w:r>
      <w:r>
        <w:rPr>
          <w:highlight w:val="white"/>
        </w:rPr>
      </w:r>
      <w:r/>
    </w:p>
    <w:p>
      <w:pP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2.5.1. Порядок оплаты медицинских услуг скорой медицинской пом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ощи</w:t>
      </w:r>
      <w:r>
        <w:rPr>
          <w:highlight w:val="white"/>
        </w:rPr>
      </w:r>
      <w:r/>
    </w:p>
    <w:p>
      <w:pPr>
        <w:ind w:firstLine="708"/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Оплата скорой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медицинской помощи в рамках базовой программы ОМС, оказанной вне медицинской организации (по месту вызова бригады скорой, в том числе скорой специализированной медицинской помощи, а также в транспортном средстве при медицинской эвакуации), осуществляется: </w:t>
      </w:r>
      <w:r>
        <w:rPr>
          <w:highlight w:val="white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по подушевому нормативу финансирования; </w:t>
      </w:r>
      <w:r>
        <w:rPr>
          <w:highlight w:val="white"/>
        </w:rPr>
      </w:r>
      <w:r/>
    </w:p>
    <w:p>
      <w:pPr>
        <w:ind w:firstLine="53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за единицу объема медицинской помощи –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торого выдан полис обязательного медицинского страхования, а также оказанной в отдельных медицинских организациях, не имеющих прикрепившихся лиц).</w:t>
      </w:r>
      <w:r>
        <w:rPr>
          <w:highlight w:val="white"/>
        </w:rPr>
      </w:r>
      <w:r/>
    </w:p>
    <w:p>
      <w:pPr>
        <w:ind w:firstLine="53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Подушевой норматив финансирования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скорой медицинской помощи, оказываемой вне медицинской организации включает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расходы на оплату медицинской помощи в рамках базовой программы ОМС, в том числе на оплату за вызовы скорой медицинской помощи с применением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тромболитической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терапии. 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Не включаются в подушевой норматив финансирования скорой медицинской помощи: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расходы,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направляемые на оплату скорой медицинской помощи вне медицинской организации, оказываемой застрахованным лицам за пределами Липецкой области;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расходы, направляемые на оплату скорой медицинской помощи больным психоневрологического профиля.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Оплата скорой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медицинской помощи сверх базовой программы ОМС (больным психоневрологического профиля) осуществляется за вызов скорой медицинской помощи из средств, переданных в составе межбюджетных трансфертов из областного бюджета на эти цели, в пределах объемов и стои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мости оказанных медицинских услуг в соответствии с утвержденным в установленном порядке Заданием.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Формирование реестров по скорой медицинской помощи производится по тарифам 1 вызова скорой медицинской помощи для врачебных и фельдшерских бригад, принятым на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территории Липецкой области.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Формирование реестров по скорой медицинской помощи сверх базовой программы ОМС производится по тарифам 1 вызова скорой медицинской помощи психоневрологического профиля, принятым на территории Липецкой области.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 ТФОМС Липецкой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области предоставляется информация об  оказанной медицинской помощи по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неидентифицированным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пациентам по базе застрахованных на территории Липецкой области в течение 5 рабочих дней месяца, следующего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за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отчетным.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При предоставлении информации об оказанной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медицинской помощи в ТФОМС Липецкой области случаи по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неидентифицированным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пациентам должны представляться отдельным реестром (списком). После получения информации, ТФОМС Липецкой области производит идентификацию данных случаев в соответствии с Правилами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обязательного медицинского страхования и направляет сведения для оплаты в СМО.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Оказание скорой медицинской помощи без выезда бригады по месту жительства пациента в случае самообращения на станцию скорой медицинской помощи осуществляется врачом или фельдшер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ом скорой медицинской помощи. 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Представление к оплате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медицинской помощи, оказанной на станции скорой помощи без выезда бригады при самообращении пациента производится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по соответствующим тарифам.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Финансирование дежурства бригад скорой помощи во время проведения массовых мероприятий не подлежит оплате из средств обязательного медицинского страхования.</w:t>
      </w:r>
      <w:r>
        <w:rPr>
          <w:highlight w:val="white"/>
        </w:rPr>
      </w:r>
      <w:r/>
    </w:p>
    <w:p>
      <w:pPr>
        <w:ind w:right="-58"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right="-58"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Ежемесячная сумма финансирования скорой медицинской помощи рассчитывается ТФОМС Липецкой области 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доводится до сведения СМО.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Финансирование скорой медицинской помощи по утверждённым  подушевым нормативам осуществляется СМО, в соответствии с заключенными с МО договорами, в следующем порядке: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осуществляется авансирование МО;</w:t>
      </w:r>
      <w:r>
        <w:rPr>
          <w:highlight w:val="white"/>
        </w:rPr>
      </w:r>
      <w:r/>
    </w:p>
    <w:p>
      <w:pPr>
        <w:ind w:firstLine="708"/>
        <w:jc w:val="both"/>
        <w:spacing w:after="36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окончательный расчет про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изводится ежемесячно путем оплаты предъявленного счета (с приложением реестра счета) за оказанные медицинские услуги отдельно прикрепленному и неприкрепленному населению к данной МО, с учетом выданных авансов.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СМО в свою очередь осуществляет расчеты за мед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ицинскую помощь, оказанную прикрепленному населению, за вычетом средств по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межучрежденческим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взаиморасчетам, в пределах размера финансового обеспечения по подушевому нормативу. </w:t>
      </w:r>
      <w:r>
        <w:rPr>
          <w:highlight w:val="white"/>
        </w:rPr>
      </w:r>
      <w:r/>
    </w:p>
    <w:p>
      <w:pPr>
        <w:ind w:firstLine="708"/>
        <w:jc w:val="both"/>
        <w:spacing w:after="36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Счета за медицинские услуги, оказанные гражданам, неприкрепленным к данной МО,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оплачиваются СМО по тарифам, определенным  для МО, оказавшей медицинскую помощь, из финансового обеспечения по подушевому нормативу тех МО, к которым данные граждане прикреплены.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 реестре счета за медицинские услуги, оказанные гражданам, неприкрепленным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 данной медицинской организации, отражается, в том числе информация наименовании медицинской организации, к которой прикреплен пациент. 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Межучрежденческие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взаиморасчеты осуществляют СМО в следующем порядке: 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в первую очередь, определяется сумма уменьшен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ия финансового обеспечения по подушевому нормативу каждой медицинской организации, в счет оплаты медицинской помощи оказанной прикрепленному к ней населению в других МО,  что производится путем суммирования стоимости позиций реестров счетов других МО по па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циентам, прикрепленным к данной медицинской организации; 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затем определяется сумма средств за медицинские услуги, оказанные в данной МО населению, прикрепленному к другим МО, определяется по соответствующим счетам.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Контроль соот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ветствия суммы выставленных на оплату счетов  установленному размеру финансового обеспечения по подушевому нормативу осуществляют СМО. По результатам контроля ежемесячно оформляется протокол, в котором отражается сумма остатка (при его наличии).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Сумма оста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тка финансового обеспечения по подушевому нормативу определяется СМО для каждой МО следующим образом: 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из общего размера финансового обеспечения по подушевому нормативу исключается сумма средств, предназначенная для перечисления в другие МО в рамках межу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чережденческих взаиморасчетов;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производится сопоставление суммы денежных средств по реестрам за медицинские услуги, оказанные населению, прикрепленному к МО, с суммой средств, установленной в результате действий, указанных в предыдущем абзаце. 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16"/>
          <w:szCs w:val="16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16"/>
          <w:szCs w:val="16"/>
          <w:highlight w:val="white"/>
        </w:rPr>
      </w:r>
      <w:r>
        <w:rPr>
          <w:highlight w:val="white"/>
        </w:rPr>
      </w:r>
      <w:r/>
    </w:p>
    <w:p>
      <w:pPr>
        <w:ind w:right="-57"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Оставшие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ся финансовые средства от суммы финансирования по подушевым нормативам направляются в соответствующие медицинские организации. </w:t>
      </w:r>
      <w:r>
        <w:rPr>
          <w:highlight w:val="white"/>
        </w:rPr>
      </w:r>
      <w:r/>
    </w:p>
    <w:p>
      <w:pPr>
        <w:ind w:right="-57"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 случае превышения стоимости медицинской помощи по реестрам прикрепленного  населения над размером остатка финансового обеспече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ния по подушевому нормативу,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страховая медицинская организация производит оплату счетов за оказанную медицинскую помощь медицинским организациям в пределах суммы финансового обеспечения по подушевому нормативу.</w:t>
      </w:r>
      <w:r>
        <w:rPr>
          <w:highlight w:val="white"/>
        </w:rPr>
      </w:r>
      <w:r/>
    </w:p>
    <w:p>
      <w:pPr>
        <w:ind w:left="644"/>
        <w:jc w:val="center"/>
        <w:rPr>
          <w:rFonts w:ascii="Times New Roman" w:hAnsi="Times New Roman" w:cs="Times New Roman" w:eastAsia="Times New Roman"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32"/>
          <w:szCs w:val="32"/>
          <w:highlight w:val="white"/>
        </w:rPr>
      </w:r>
      <w:r>
        <w:rPr>
          <w:highlight w:val="white"/>
        </w:rPr>
      </w:r>
      <w:r/>
    </w:p>
    <w:p>
      <w:pPr>
        <w:ind w:left="644"/>
        <w:jc w:val="center"/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32"/>
          <w:szCs w:val="32"/>
          <w:highlight w:val="white"/>
        </w:rPr>
        <w:t xml:space="preserve">3. Тарифы на оплату медицинской помощи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Размер и структура тарифов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на оплату медицинской помощи определены в соответствии с методикой расчета тарифов на оплату медицинской помощи по обязательному медицинскому страхованию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, установленной разделом XII Правил.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Тарифы, установленные Тарифным Соглашен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ием, применяются, в том числе для осуществления межтерриториальных взаиморасчетов.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/>
          <w:sz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highlight w:val="white"/>
        </w:rPr>
        <w:t xml:space="preserve">Коэффициент дифференциации, рассчитанный в соответствии с постановлением Правительства Российской Федерации от 05.05.2012 № 462 «О порядке распределения, предоставления и ра</w:t>
      </w:r>
      <w:r>
        <w:rPr>
          <w:rFonts w:ascii="Times New Roman" w:hAnsi="Times New Roman" w:cs="Times New Roman"/>
          <w:sz w:val="28"/>
          <w:highlight w:val="white"/>
        </w:rPr>
        <w:t xml:space="preserve">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</w:t>
      </w:r>
      <w:r>
        <w:rPr>
          <w:rFonts w:ascii="Times New Roman" w:hAnsi="Times New Roman" w:cs="Times New Roman"/>
          <w:sz w:val="28"/>
          <w:highlight w:val="white"/>
        </w:rPr>
        <w:t xml:space="preserve">страхования</w:t>
      </w:r>
      <w:r>
        <w:rPr>
          <w:rFonts w:ascii="Times New Roman" w:hAnsi="Times New Roman" w:cs="Times New Roman"/>
          <w:sz w:val="28"/>
          <w:highlight w:val="white"/>
        </w:rPr>
        <w:t xml:space="preserve"> на осуществление переданных органам государственной власти субъектов Российской Федерации полно</w:t>
      </w:r>
      <w:r>
        <w:rPr>
          <w:rFonts w:ascii="Times New Roman" w:hAnsi="Times New Roman" w:cs="Times New Roman"/>
          <w:sz w:val="28"/>
          <w:highlight w:val="white"/>
        </w:rPr>
        <w:t xml:space="preserve">мочий Российской Федерации в сфере обязательного медицинского страхования» (далее – Постановление № 462) равен 1 и применяется на всей территории Липецкой области.</w:t>
      </w:r>
      <w:r>
        <w:rPr>
          <w:highlight w:val="white"/>
        </w:rPr>
      </w:r>
      <w:r/>
    </w:p>
    <w:p>
      <w:pPr>
        <w:ind w:firstLine="851"/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3.1. Тарифы на оплату амбулаторной медицинской помощи</w:t>
      </w:r>
      <w:r>
        <w:rPr>
          <w:highlight w:val="white"/>
        </w:rPr>
      </w:r>
      <w:r/>
    </w:p>
    <w:p>
      <w:pPr>
        <w:ind w:firstLine="851"/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Коэффициенты, применяемые при расчет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 подушевых нормативов амбулаторной медицинской помощи, а так же фактические дифференцированные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подушевые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нормативы финансирования в разрезе медицинских организаций представлены в приложении № 7 к Тарифному соглашению.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Базовые нормативы финансовых затрат 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 единицу объема 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2023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год:</w:t>
      </w:r>
      <w:r>
        <w:rPr>
          <w:highlight w:val="white"/>
        </w:rPr>
      </w:r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441"/>
        <w:gridCol w:w="1985"/>
        <w:gridCol w:w="1559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Вид медицинской помощи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Единица объема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Базовый норматив финансовых затрат на единицу объема, руб.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Медицинская помощь в амбулаторных условиях, в том числе: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/>
          </w:p>
        </w:tc>
      </w:tr>
      <w:tr>
        <w:trPr>
          <w:trHeight w:val="6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профилактической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и иными целями,</w:t>
            </w:r>
            <w:r>
              <w:rPr>
                <w:highlight w:val="white"/>
              </w:rPr>
            </w:r>
            <w:r/>
          </w:p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том числе: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посещение /комплексное посещение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769,70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 для проведения профилактических медицинских осмотров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комплексное посещение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2 050,50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 для проведения диспансеризации - всего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комплексное посещение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2 507,20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 в том числе для проведения углубленной диспансеризации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комплексное посещение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1 084,10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 с иными целями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посещение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355,20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неотложной форме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посещение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770,00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связи с заболеваниями – обращений всего: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обращение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1 727,10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 компьютерная томография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исследование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2 692,10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 магнитно-резонансная томография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исследование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3 675,90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 ультразвуковое исследование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сердечно-сосудистой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системы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исследование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543,60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 эндоскопическое диагностическое исследование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исследование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996,80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 молекулярно-генетические исследования с целью диагностики онкологических заболеваний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исследование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8 371,10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 патологоанатомическое исследование биопсийного (операционного) материала с целью диагностики онкологических заболеваний и подбора противоопухоле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вой лекарственной терапии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исследование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2 064,50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 тестирование на выявление новой коронавирусной инфекции COVID-19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тестирование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399,60</w:t>
            </w:r>
            <w:r>
              <w:rPr>
                <w:highlight w:val="white"/>
              </w:rPr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1" w:type="dxa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диспансерное наблюдение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комплексное посещение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1268,60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медицинская реабилитация в амбулаторных условиях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комплексное посещение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19 906,00</w:t>
            </w:r>
            <w:r>
              <w:rPr>
                <w:highlight w:val="white"/>
              </w:rPr>
            </w:r>
            <w:r/>
          </w:p>
        </w:tc>
      </w:tr>
    </w:tbl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3.1.1. Размер среднего подушевого норматива финансирования в амбулаторных условиях на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2023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год составляет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5 920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04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руб. 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3.1.2. Размер базового подушевого норматива финансирования медицинских организаций на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2023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год –2 013,51 руб.</w:t>
      </w:r>
      <w:r>
        <w:rPr>
          <w:highlight w:val="white"/>
        </w:rPr>
      </w:r>
      <w:r/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3.1.3. Половозрастные коэффициенты дифференциации подушевого норматива для медицинских организаций на 2023 год:</w:t>
      </w:r>
      <w:r>
        <w:rPr>
          <w:highlight w:val="white"/>
        </w:rPr>
      </w:r>
      <w:r/>
    </w:p>
    <w:tbl>
      <w:tblPr>
        <w:tblW w:w="10096" w:type="dxa"/>
        <w:tblInd w:w="93" w:type="dxa"/>
        <w:tblLook w:val="04A0" w:firstRow="1" w:lastRow="0" w:firstColumn="1" w:lastColumn="0" w:noHBand="0" w:noVBand="1"/>
      </w:tblPr>
      <w:tblGrid>
        <w:gridCol w:w="1820"/>
        <w:gridCol w:w="1655"/>
        <w:gridCol w:w="1655"/>
        <w:gridCol w:w="1655"/>
        <w:gridCol w:w="1655"/>
        <w:gridCol w:w="1656"/>
      </w:tblGrid>
      <w:tr>
        <w:trPr>
          <w:trHeight w:val="164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  <w:t xml:space="preserve">Пол</w:t>
            </w:r>
            <w:r>
              <w:rPr>
                <w:highlight w:val="white"/>
              </w:rPr>
            </w:r>
            <w:r/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  <w:t xml:space="preserve">Возраст, лет</w:t>
            </w:r>
            <w:r>
              <w:rPr>
                <w:highlight w:val="white"/>
              </w:rPr>
            </w:r>
            <w:r/>
          </w:p>
        </w:tc>
      </w:tr>
      <w:tr>
        <w:trPr>
          <w:trHeight w:val="16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yellow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  <w:t xml:space="preserve">От 0 до 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  <w:t xml:space="preserve">От 1 до 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  <w:t xml:space="preserve">От 5 до 17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  <w:t xml:space="preserve">18-64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  <w:t xml:space="preserve">65 и старше</w:t>
            </w:r>
            <w:r>
              <w:rPr>
                <w:highlight w:val="white"/>
              </w:rPr>
            </w:r>
            <w:r/>
          </w:p>
        </w:tc>
      </w:tr>
      <w:tr>
        <w:trPr>
          <w:trHeight w:val="16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yellow"/>
              </w:rPr>
            </w:r>
            <w:r/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  <w:t xml:space="preserve">коэффициенты дифференциации подушевого норматива КД</w:t>
            </w:r>
            <w:r>
              <w:rPr>
                <w:highlight w:val="white"/>
              </w:rPr>
            </w:r>
            <w:r/>
          </w:p>
        </w:tc>
      </w:tr>
      <w:tr>
        <w:trPr>
          <w:trHeight w:val="39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  <w:t xml:space="preserve">Мужчины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1,877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1,541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1,147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0,675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1,600</w:t>
            </w:r>
            <w:r>
              <w:rPr>
                <w:highlight w:val="white"/>
              </w:rPr>
            </w:r>
            <w:r/>
          </w:p>
        </w:tc>
      </w:tr>
      <w:tr>
        <w:trPr>
          <w:trHeight w:val="39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  <w:t xml:space="preserve">Женщины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1,787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1,464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1,188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1,063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1,600</w:t>
            </w:r>
            <w:r>
              <w:rPr>
                <w:highlight w:val="white"/>
              </w:rPr>
            </w:r>
            <w:r/>
          </w:p>
        </w:tc>
      </w:tr>
    </w:tbl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3.1.4. Перечень показателей результативности деятельности медицинских организаций, применяемых при осуществлении выплат медицинским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организациям, имеющим прикрепившихся лиц, критерии их оценки, размер и порядок осуществления выплат за их выполнение.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</w:r>
      <w:r>
        <w:rPr>
          <w:highlight w:val="white"/>
        </w:rPr>
      </w:r>
      <w:r/>
    </w:p>
    <w:p>
      <w:pPr>
        <w:pStyle w:val="1044"/>
        <w:ind w:firstLine="720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Перечень показателей результативности деятельности медицинских организаций (далее – показатели результативности деятельности) приведен в</w:t>
      </w:r>
      <w:r>
        <w:rPr>
          <w:rFonts w:ascii="Times New Roman" w:hAnsi="Times New Roman" w:cs="Times New Roman"/>
          <w:sz w:val="28"/>
          <w:highlight w:val="white"/>
        </w:rPr>
        <w:t xml:space="preserve"> таблице.</w:t>
      </w:r>
      <w:r>
        <w:rPr>
          <w:highlight w:val="white"/>
        </w:rPr>
      </w:r>
      <w:r/>
    </w:p>
    <w:p>
      <w:pPr>
        <w:pStyle w:val="1044"/>
        <w:ind w:firstLine="720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</w:r>
      <w:r>
        <w:rPr>
          <w:highlight w:val="white"/>
        </w:rPr>
      </w:r>
      <w:r/>
    </w:p>
    <w:tbl>
      <w:tblPr>
        <w:tblpPr w:horzAnchor="text" w:tblpX="200" w:vertAnchor="text" w:tblpY="1" w:leftFromText="180" w:topFromText="0" w:rightFromText="180" w:bottomFromText="0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141"/>
        <w:gridCol w:w="1843"/>
        <w:gridCol w:w="142"/>
        <w:gridCol w:w="2267"/>
        <w:gridCol w:w="710"/>
      </w:tblGrid>
      <w:tr>
        <w:trPr>
          <w:trHeight w:val="837"/>
          <w:tblHeader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  <w:t xml:space="preserve">№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8" w:space="0"/>
              <w:bottom w:val="single" w:color="000000" w:sz="8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  <w:t xml:space="preserve">Наименование показателя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  <w:t xml:space="preserve">Предположи-</w:t>
            </w:r>
            <w:r>
              <w:rPr>
                <w:highlight w:val="white"/>
              </w:rPr>
            </w:r>
            <w:r/>
          </w:p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  <w:t xml:space="preserve">тельный результат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  <w:t xml:space="preserve">Индикаторы выполнения показателя ***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  <w:t xml:space="preserve">Макс. балл</w:t>
            </w:r>
            <w:r>
              <w:rPr>
                <w:highlight w:val="white"/>
              </w:rPr>
            </w:r>
            <w:r/>
          </w:p>
        </w:tc>
      </w:tr>
      <w:tr>
        <w:trPr>
          <w:trHeight w:val="272"/>
        </w:trPr>
        <w:tc>
          <w:tcPr>
            <w:gridSpan w:val="6"/>
            <w:shd w:val="clear" w:color="000000" w:fill="d9d9d9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17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  <w:t xml:space="preserve">Блок 1. Взрослое население (в возрасте 18 лет и старше)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  <w:t xml:space="preserve">19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8"/>
        </w:trPr>
        <w:tc>
          <w:tcPr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88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  <w:t xml:space="preserve">Оценка эффективности профилактических мероприятий</w:t>
            </w:r>
            <w:r>
              <w:rPr>
                <w:highlight w:val="white"/>
              </w:rPr>
            </w:r>
            <w:r/>
          </w:p>
        </w:tc>
      </w:tr>
      <w:tr>
        <w:trPr>
          <w:trHeight w:val="1406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Доля врачебных посещений с профилактической целью за период, от общего числа посещений за период (включая посещения на дому).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показателя  за период по отношению к показателю за предыдущий период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&lt; 3% - 0 баллов;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≥ 3% - 0,5 балла;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≥ 7% - 1 балл;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Значение показателя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 текущем периоде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выше среднего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значения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по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Липецкой области****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текущем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периоде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(далее – выше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среднего) - 0,5 балла;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 текущем периоде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достигнуто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максимально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возможное значение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показателя (далее –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максимально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озможное значение)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- 1 балл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>
          <w:trHeight w:val="1691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жизни установленным диагнозом за период.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показателя  за период по отношению к показателю за предыдущий период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&lt; 5 % -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0 баллов;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≥ 5 % -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1 балл;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≥ 10 % -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2 балла;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Выше среднего - 1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балл;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Максимально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возможное значение -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2 балла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2</w:t>
            </w:r>
            <w:r>
              <w:rPr>
                <w:highlight w:val="white"/>
              </w:rPr>
            </w:r>
            <w:r/>
          </w:p>
        </w:tc>
      </w:tr>
      <w:tr>
        <w:trPr>
          <w:trHeight w:val="1699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жи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зни установленным диагнозом злокачественное новообразование за период.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показателя  за период по отношению к показателю за предыдущий период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&lt; 5 % -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0 баллов;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≥ 5 % -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0,5 балла;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≥ 10 % -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1 балл;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Выше среднего – 0,5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балла;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Максимально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возможное значение -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 балл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>
          <w:trHeight w:val="1420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Доля взрослых пациентов с установленным диагнозом хроническая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обструктивная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ентов с впервые в жизни установленным диагнозом хроническая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обструктивная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легочная болезнь за период.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показателя  за период по отношению к показателю за предыдущий период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&lt; 5 % -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0 баллов;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≥ 5 % -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0,5 балла;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≥ 10 % -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 балл;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Выше среднего – 0,5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балла;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Максимально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возможное значение -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 балл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>
          <w:trHeight w:val="1679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Доля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жизни установленным диагнозом сахарный диабет за период.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показателя  за период по отношению к показателю за предыдущий период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&lt; 5 % -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0 баллов;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≥ 5 % -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0,5 балла;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≥ 10 % -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1 балл;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Выше среднего – 0,5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балла;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Максимально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возможное значение -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 балл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81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Выполнение плана вакцинации взрослых граждан против новой коронавирусной инфекции (COVID-19) по эпидемиологическим показаниям за период).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Достижение планового показателя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(выполнение плана вакцинации  от количества прикрепившихся лиц в возрасте 18 лет и ста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рше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- при первичной вакцинации - 25 %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- при  вторичной вакцинации - 60 %)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100 % плана или более – 2 балла;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Выше среднего – 1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балл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2</w:t>
            </w:r>
            <w:r>
              <w:rPr>
                <w:highlight w:val="white"/>
              </w:rPr>
            </w:r>
            <w:r/>
          </w:p>
        </w:tc>
      </w:tr>
      <w:tr>
        <w:trPr>
          <w:trHeight w:val="259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8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  <w:t xml:space="preserve">Оценка эффективности диспансерного наблюдения</w:t>
            </w:r>
            <w:r>
              <w:rPr>
                <w:highlight w:val="white"/>
              </w:rPr>
            </w:r>
            <w:r/>
          </w:p>
        </w:tc>
      </w:tr>
      <w:tr>
        <w:trPr>
          <w:trHeight w:val="1680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7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Доля взрослых пац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показателя  за период по отношению к показателю за предыдущий период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&lt; 3% - 0 баллов;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 ≥ 3% - 1 балл;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 ≥ 7% - 2 балла;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Выше среднего – 1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балл;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Максимально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возможное значение -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2 балла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2</w:t>
            </w:r>
            <w:r>
              <w:rPr>
                <w:highlight w:val="white"/>
              </w:rPr>
            </w:r>
            <w:r/>
          </w:p>
        </w:tc>
      </w:tr>
      <w:tr>
        <w:trPr>
          <w:trHeight w:val="1689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8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Число взрослых пациентов с болезнями 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стемы кровообращения*, имеющих высокий риск преждевременной смерти, за период.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Уменьшение показателя за период по отношению к показателю в предыдущем периоде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Уменьшение &lt; 5 % - 0 баллов;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Уменьшение ≥ 5 % - 0,5 балла;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Уменьшение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 ≥ 10 % - 1 балл;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Значение п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оказателя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в текущем периоде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ниже среднего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значения по Липецкой области**** 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текущем периоде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(далее – ниже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среднего) - 0,5 балла;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В текущем периоде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достигнуто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минимально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возможное значение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показателя (далее 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минимально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возможное значение)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- 1 балл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>
          <w:trHeight w:val="1526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9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жизни установленным диагнозом болезни системы кровообращения за период.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Достижение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планового показателя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(90 % от количества прикрепившихся лиц в возрасте 18 лет и старше)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100 % плана или более – 1 балл;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Выше среднего – 0,5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балла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>
          <w:trHeight w:val="1696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Доля взрослых пациентов с установленным диагнозом хроническая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обструктивная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жизни установленным диагнозом хроническая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обструкт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ивная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болезнь легких за период.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Достижение планового показателя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(100 % от количества прикрепившихся лиц в возрасте 18 лет и старше)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100 % плана или более – 1 балл;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Выше среднего – 0,5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балла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>
          <w:trHeight w:val="1544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11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жизни установленным диагнозом сахарный диабет за период.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Достижение планово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го показателя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(100 % от количества прикрепившихся лиц в возрасте 18 лет и старше)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100 % плана или более – 2 балла;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Выше среднего – 1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балл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2</w:t>
            </w:r>
            <w:r>
              <w:rPr>
                <w:highlight w:val="white"/>
              </w:rPr>
            </w:r>
            <w:r/>
          </w:p>
        </w:tc>
      </w:tr>
      <w:tr>
        <w:trPr>
          <w:trHeight w:val="1420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12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Доля взрослых пациентов, 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Уменьшение показателя за период по отношению к показателю в предыдущем периоде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Уменьшение &lt; 5 % - 0 баллов;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Уменьшение ≥ 5 % - 0,5 балла;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Уменьшение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≥ 10 % - 1 балл;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Ниже среднего - 0,5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балла;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Минимально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возможное значение 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1 балл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>
          <w:trHeight w:val="1947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13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Доля взрослых пациентов, повторно госпитализированных за период по причине заболеваний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сердечно-сосудистой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ичине заболеваний сердечно-сосудистой системы или их осложнений.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Уменьшение показателя за период по отношению к показателю в предыдущем периоде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Уменьшение &lt; 3% - 0 баллов;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Уменьшение  ≥ 3% - 1 балл;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Уменьшение  ≥ 7% - 2 балла;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Ниже среднего - 1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балл;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Миним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ально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возможное значение 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2 балла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2</w:t>
            </w:r>
            <w:r>
              <w:rPr>
                <w:highlight w:val="white"/>
              </w:rPr>
            </w:r>
            <w:r/>
          </w:p>
        </w:tc>
      </w:tr>
      <w:tr>
        <w:trPr>
          <w:trHeight w:val="1833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14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Доля взрослых пациентов, находящихся под диспансерным наблюд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ением по поводу сахарного диабета, у которых впервые зарегистрированы осложнения за период (диабетическая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ретинопатия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Уменьшение показателя за период по отношению к показателю в предыдущем периоде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Уменьшение &lt; 5 % - 0 баллов;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Уменьшение ≥ 5 % - 0,5 балла;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Уменьшение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≥ 10 % - 1 балл;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 Ниже среднего - 0,5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балла;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Минимально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возможное значение 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  <w:t xml:space="preserve">1 балл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>
          <w:trHeight w:val="121"/>
        </w:trPr>
        <w:tc>
          <w:tcPr>
            <w:gridSpan w:val="6"/>
            <w:shd w:val="clear" w:color="000000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7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  <w:t xml:space="preserve">Блок 2. Детское население (от 0 до 17 лет включительно)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  <w:t xml:space="preserve">7</w:t>
            </w:r>
            <w:r>
              <w:rPr>
                <w:highlight w:val="white"/>
              </w:rPr>
            </w:r>
            <w:r/>
          </w:p>
        </w:tc>
      </w:tr>
      <w:tr>
        <w:trPr>
          <w:trHeight w:val="177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8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  <w:t xml:space="preserve">Оценка эффективности профилактических мероприятий</w:t>
            </w:r>
            <w:r>
              <w:rPr>
                <w:highlight w:val="white"/>
              </w:rPr>
            </w:r>
            <w:r/>
          </w:p>
        </w:tc>
      </w:tr>
      <w:tr>
        <w:trPr>
          <w:trHeight w:val="962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Охват вакцинацией детей в рамках Национального календаря прививок.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Достижение планового показателя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(95 % от количества прикрепившихся лиц в возрасте от 0 до 17 лет включительно)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100 % плана или более – 1 балл;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Выше среднего – 0,5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балла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>
          <w:trHeight w:val="1659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жизни установленными диагнозами болезней костно-мышечной системы и соединител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ьной ткани за период.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Достижение планового показателя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(80 % от количества прикрепившихся лиц в возрасте от 0 до 17 лет включительно)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100 % от числа подлежащих диспансерному наблюдению – 1 балл;                   Выше среднего – 0,5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балла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>
          <w:trHeight w:val="1400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жизни установленными диагнозами болезней глаза и его придаточного аппарата за период.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Дост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ижение планового показателя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(80 % от количества прикрепившихся лиц в возрасте от 0 до 17 лет включительно)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100 % от числа подлежащих диспансерному наблюдению – 1 балл; Выше среднего – 0,5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балла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>
          <w:trHeight w:val="1406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жизни установленными диагнозами болезней органов пищеварения за период.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Достижение планового показателя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(85 % от количества прикрепившихся лиц в возрасте от 0 до 17 лет включительно)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100 % от числа подлежащих диспансерному наблюдению – 1 балл; 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Выше среднего – 0,5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балла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>
          <w:trHeight w:val="1412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жизни установленными диагнозами болезней системы кровообращения за период.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Достижение планового показа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теля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(85 % от количества прикрепившихся лиц в возрасте от 0 до 17 лет включительно)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100 % от числа подлежащих диспансерному наблюдению – 2 балла; 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Выше среднего – 1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балл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2</w:t>
            </w:r>
            <w:r>
              <w:rPr>
                <w:highlight w:val="white"/>
              </w:rPr>
            </w:r>
            <w:r/>
          </w:p>
        </w:tc>
      </w:tr>
      <w:tr>
        <w:trPr>
          <w:trHeight w:val="1262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20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Доля детей, в отношении которых установлено диспансерное наблюден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ие по поводу болезней эндокринной системы, расстройства питания и нарушения обмена веществ за период, от общего числа детей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Достижение планового показателя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(85 % от количества прикрепившихся лиц в возрасте от 0 до 17 лет включительно)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100 % от числа подлежащих диспансерному наблюдению – 1 балл; 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Выше среднего – 0,5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балла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>
          <w:trHeight w:val="232"/>
        </w:trPr>
        <w:tc>
          <w:tcPr>
            <w:gridSpan w:val="6"/>
            <w:shd w:val="clear" w:color="000000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7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  <w:t xml:space="preserve">Блок 3. Оказание акушерско-гинекологической помощи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  <w:t xml:space="preserve">6</w:t>
            </w:r>
            <w:r>
              <w:rPr>
                <w:highlight w:val="white"/>
              </w:rPr>
            </w:r>
            <w:r/>
          </w:p>
        </w:tc>
      </w:tr>
      <w:tr>
        <w:trPr>
          <w:trHeight w:val="278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8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  <w:t xml:space="preserve">Оценка эффективности профилактических мероприятий</w:t>
            </w:r>
            <w:r>
              <w:rPr>
                <w:highlight w:val="white"/>
              </w:rPr>
            </w:r>
            <w:r/>
          </w:p>
        </w:tc>
      </w:tr>
      <w:tr>
        <w:trPr>
          <w:trHeight w:val="71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21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доабортное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консультирование за период.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показателя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за период по отношению к показателю за предыдущий период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&lt; 5 % - 0 баллов;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≥ 5 % - 0,5 балла;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≥ 10 % - 1 балл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Выше среднего – 0,5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балла;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Максимально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возможное значение -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 балл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>
          <w:trHeight w:val="71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22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Доля беременных женщин, вакцинированных против новой коронавирусной инфекции (COVID-19), за период, от числа женщин, состоящих на учете по беременности и родам на начало периода.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Достижение планового показателя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(50 % от числа женщин, состоящих на учете по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беременности и родам на начало периода)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100 % плана или более – 1 балл;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Выше среднего – 0,5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балла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>
          <w:trHeight w:val="79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23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Доля женщин с установленным диагнозом злокачественное новообразование шейки матки, выявленным впервые при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диспансеризации, от общего числа женщин с установленным диагнозом злокачественное новообразование шейки матки за период.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показателя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за период по отношению к показателю за предыдущий период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&lt; 5 % - 0 баллов;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≥ 5 % - 0,5 балла;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≥ 10 % - 1 балл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Выше среднего – 0,5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балла;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Максимально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возможное значение -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 балл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>
          <w:trHeight w:val="10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24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Доля женщин с установленным диагнозом злокачественное новообразование молочной железы, выявленным впервые при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диспансеризации, от общего числа женщин с установленным диагнозом злокачественное новообразование молочной железы за период.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показателя  за период по отношению к показателю за предыдущий период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&lt; 5 % - 0 баллов;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Прирост ≥ 5 % - 0,5 балла;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рирост ≥ 10 % - 1 балл Выше среднего – 0,5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балла;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Максимально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возможное значение -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 балл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>
          <w:trHeight w:val="72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25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Достижение планового показателя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(98 % от общего числа женщин, состоящих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на учете по беременности и родам за период)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100 % плана или более – 1 балл;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Выше среднего – 0,5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балла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</w:tbl>
    <w:p>
      <w:pPr>
        <w:jc w:val="both"/>
        <w:widowControl w:val="off"/>
        <w:rPr>
          <w:rFonts w:ascii="Times New Roman" w:hAnsi="Times New Roman" w:cs="Times New Roman" w:eastAsia="Times New Roman"/>
          <w:sz w:val="24"/>
          <w:szCs w:val="24"/>
          <w:highlight w:val="whit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* по набору кодов Международной статистической классификацией болезней и проблем, связанных со здоровьем, десятого пересмотра (МКБ-10)</w:t>
      </w:r>
      <w:r>
        <w:rPr>
          <w:highlight w:val="white"/>
        </w:rPr>
      </w:r>
      <w:r/>
    </w:p>
    <w:p>
      <w:pPr>
        <w:jc w:val="both"/>
        <w:widowControl w:val="off"/>
        <w:rPr>
          <w:rFonts w:ascii="Times New Roman" w:hAnsi="Times New Roman" w:cs="Times New Roman" w:eastAsia="Times New Roman"/>
          <w:sz w:val="24"/>
          <w:szCs w:val="24"/>
          <w:highlight w:val="whit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*** выполненным считается показатель со значением 0,5 и более баллов. В случае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,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 если медицинская организация удовлетворяет нескольким критериям для начисления баллов –</w:t>
      </w:r>
      <w:r>
        <w:rPr>
          <w:highlight w:val="white"/>
        </w:rPr>
      </w:r>
      <w:r/>
    </w:p>
    <w:p>
      <w:pPr>
        <w:jc w:val="both"/>
        <w:widowControl w:val="off"/>
        <w:rPr>
          <w:rFonts w:ascii="Times New Roman" w:hAnsi="Times New Roman" w:cs="Times New Roman" w:eastAsia="Times New Roman"/>
          <w:sz w:val="24"/>
          <w:szCs w:val="24"/>
          <w:highlight w:val="whit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присваивается максимальный из 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возможных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 для начисления балл. В случае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,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 если значение,</w:t>
      </w:r>
      <w:r>
        <w:rPr>
          <w:highlight w:val="white"/>
        </w:rPr>
      </w:r>
      <w:r/>
    </w:p>
    <w:p>
      <w:pPr>
        <w:jc w:val="both"/>
        <w:widowControl w:val="off"/>
        <w:rPr>
          <w:rFonts w:ascii="Times New Roman" w:hAnsi="Times New Roman" w:cs="Times New Roman" w:eastAsia="Times New Roman"/>
          <w:sz w:val="24"/>
          <w:szCs w:val="24"/>
          <w:highlight w:val="whit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ук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азанное в знаменателе соответствующих формул, приведенных в 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Приложении № 21 к Тарифному соглаш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ению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, равняется нулю, баллы по показателю не начисляю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тся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  <w:highlight w:val="white"/>
        </w:rPr>
        <w:t xml:space="preserve">,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  <w:highlight w:val="white"/>
        </w:rPr>
        <w:t xml:space="preserve">а ук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  <w:highlight w:val="white"/>
        </w:rPr>
        <w:t xml:space="preserve">азанный показатель (по решению субъекта Российской Федерации) исключается из числа применяемых показателей при расчете доли достигнутых показателей результативности для медицинской организации за период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.</w:t>
      </w:r>
      <w:r>
        <w:rPr>
          <w:highlight w:val="white"/>
        </w:rPr>
      </w:r>
      <w:r/>
    </w:p>
    <w:p>
      <w:pPr>
        <w:jc w:val="both"/>
        <w:widowControl w:val="off"/>
        <w:rPr>
          <w:szCs w:val="24"/>
          <w:highlight w:val="whit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**** среднее значение по субъекту Российск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ой Федерации по показателям рассчитывается,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  <w:highlight w:val="white"/>
        </w:rPr>
        <w:t xml:space="preserve">на основании сведений об оказании медицинской помощи медицинскими организациями, имеющими прикрепленное население, оплата медицинской помощи в которых осуществляется по подушевому нормативу финансировани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  <w:highlight w:val="white"/>
        </w:rPr>
        <w:t xml:space="preserve">я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, 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пу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тем 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деления суммы значений, указанных в числителе соответствующих формул, приведенных в Приложении № 21 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к Тарифному соглаш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ению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, на сумму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 значений, указанных в знам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енателе соответствующих формул, приведенных в 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Приложении № 21 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к Тарифному соглаш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ению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. Полученное значение умножается 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на 100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  <w:highlight w:val="white"/>
        </w:rPr>
        <w:t xml:space="preserve">по аналогии с алгоритмом, описанным 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в Приложении № 21 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к Тарифному соглаш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ению</w:t>
      </w:r>
      <w:r>
        <w:rPr>
          <w:rFonts w:ascii="Times New Roman" w:hAnsi="Times New Roman" w:cs="Times New Roman" w:eastAsia="Times New Roman"/>
          <w:sz w:val="24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jc w:val="both"/>
        <w:widowControl w:val="off"/>
        <w:rPr>
          <w:rFonts w:ascii="Times New Roman" w:hAnsi="Times New Roman" w:cs="Times New Roman" w:eastAsia="Times New Roman"/>
          <w:sz w:val="24"/>
          <w:szCs w:val="24"/>
          <w:highlight w:val="whit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white"/>
        </w:rPr>
      </w:r>
      <w:r>
        <w:rPr>
          <w:highlight w:val="white"/>
        </w:rPr>
      </w:r>
      <w:r/>
    </w:p>
    <w:p>
      <w:pPr>
        <w:ind w:firstLine="709"/>
        <w:jc w:val="both"/>
        <w:widowControl w:val="off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  <w:highlight w:val="white"/>
        </w:rPr>
        <w:t xml:space="preserve">Минимально возможным значением пока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8"/>
          <w:highlight w:val="white"/>
        </w:rPr>
        <w:t xml:space="preserve">зателя является значение «0». Максимально возможным значением показателя «100 процентов».</w:t>
      </w:r>
      <w:r>
        <w:rPr>
          <w:highlight w:val="white"/>
        </w:rPr>
      </w:r>
      <w:r/>
    </w:p>
    <w:p>
      <w:pPr>
        <w:jc w:val="both"/>
        <w:widowControl w:val="off"/>
        <w:rPr>
          <w:rFonts w:ascii="Times New Roman" w:hAnsi="Times New Roman" w:cs="Times New Roman" w:eastAsia="Times New Roman"/>
          <w:sz w:val="24"/>
          <w:szCs w:val="24"/>
          <w:highlight w:val="whit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white"/>
        </w:rPr>
      </w:r>
      <w:r>
        <w:rPr>
          <w:highlight w:val="white"/>
        </w:rPr>
      </w:r>
      <w:r/>
    </w:p>
    <w:p>
      <w:pPr>
        <w:ind w:firstLine="709"/>
        <w:jc w:val="both"/>
        <w:widowControl w:val="off"/>
        <w:rPr>
          <w:rFonts w:ascii="Times New Roman" w:hAnsi="Times New Roman" w:cs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 группам диагнозов, обусловливающих высокий риск смерти, относится любое сочетание сопутствующих заболеваний и осложнений с основным диагнозом, указанных в таблице: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/>
    </w:p>
    <w:tbl>
      <w:tblPr>
        <w:tblStyle w:val="1047"/>
        <w:tblW w:w="10212" w:type="dxa"/>
        <w:tblLayout w:type="fixed"/>
        <w:tblLook w:val="04A0" w:firstRow="1" w:lastRow="0" w:firstColumn="1" w:lastColumn="0" w:noHBand="0" w:noVBand="1"/>
      </w:tblPr>
      <w:tblGrid>
        <w:gridCol w:w="3026"/>
        <w:gridCol w:w="3489"/>
        <w:gridCol w:w="3697"/>
      </w:tblGrid>
      <w:tr>
        <w:trPr>
          <w:trHeight w:val="185"/>
          <w:tblHeader/>
        </w:trPr>
        <w:tc>
          <w:tcPr>
            <w:tcW w:w="30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Основной диагноз</w:t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34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Сопутствующие заболевания</w:t>
            </w:r>
            <w:r>
              <w:rPr>
                <w:highlight w:val="white"/>
              </w:rPr>
            </w:r>
            <w:r/>
          </w:p>
        </w:tc>
        <w:tc>
          <w:tcPr>
            <w:tcW w:w="36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Осложнение заболевания</w:t>
            </w:r>
            <w:r>
              <w:rPr>
                <w:highlight w:val="white"/>
              </w:rPr>
            </w:r>
            <w:r/>
          </w:p>
        </w:tc>
      </w:tr>
      <w:tr>
        <w:trPr>
          <w:trHeight w:val="527"/>
        </w:trPr>
        <w:tc>
          <w:tcPr>
            <w:tcW w:w="30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Ишемические болезни сердца I20 - I25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Гипертензивные болезни I10 - I11; I12 - I13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Цереброваскулярные болезни I60 - I69</w:t>
            </w:r>
            <w:r>
              <w:rPr>
                <w:highlight w:val="white"/>
              </w:rPr>
            </w:r>
            <w:r/>
          </w:p>
        </w:tc>
        <w:tc>
          <w:tcPr>
            <w:tcW w:w="348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Сахарный диабет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E10 - E11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Хроническая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обструктивная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легочная болезнь J44.0 - J44.9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Хроническая болезнь почек, гипертензивная болезнь с поражением почек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N18.1 - N18.9</w:t>
            </w:r>
            <w:r>
              <w:rPr>
                <w:highlight w:val="white"/>
              </w:rPr>
            </w:r>
            <w:r/>
          </w:p>
        </w:tc>
        <w:tc>
          <w:tcPr>
            <w:tcW w:w="36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Недостаточность сердечная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I50.0 - I50.9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Нарушение ритма I48 - 49 Нарушения проводимости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I44 - I45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Сердце легочное хр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оническое I27.9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Гипостатическая пневмония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J18.2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Недостаточность почечная N18.9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Уремия N19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Гангрена R02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Недостаточность легочная J98.4</w:t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Эмфизема J43.9</w:t>
            </w:r>
            <w:r>
              <w:rPr>
                <w:highlight w:val="white"/>
              </w:rPr>
            </w:r>
            <w:r/>
          </w:p>
        </w:tc>
      </w:tr>
    </w:tbl>
    <w:p>
      <w:pPr>
        <w:pStyle w:val="1044"/>
        <w:ind w:firstLine="720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</w:r>
      <w:r>
        <w:rPr>
          <w:highlight w:val="white"/>
        </w:rPr>
      </w:r>
      <w:r/>
    </w:p>
    <w:p>
      <w:pPr>
        <w:pStyle w:val="1044"/>
        <w:ind w:firstLine="720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Показатели разделены на блоки, отражающие результативность оказания медицинской помощи разным категориям населения (взрослому населению, детскому населению, акушерско-гинекологической помощи) в амбулаторных условиях.</w:t>
      </w:r>
      <w:r>
        <w:rPr>
          <w:highlight w:val="white"/>
        </w:rPr>
      </w:r>
      <w:r/>
    </w:p>
    <w:p>
      <w:pPr>
        <w:pStyle w:val="1044"/>
        <w:ind w:firstLine="720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В случае, когда группа показателей резу</w:t>
      </w:r>
      <w:r>
        <w:rPr>
          <w:rFonts w:ascii="Times New Roman" w:hAnsi="Times New Roman" w:cs="Times New Roman"/>
          <w:sz w:val="28"/>
          <w:highlight w:val="white"/>
        </w:rPr>
        <w:t xml:space="preserve">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рассчитываются </w:t>
      </w:r>
      <w:r>
        <w:rPr>
          <w:rFonts w:ascii="Times New Roman" w:hAnsi="Times New Roman" w:cs="Times New Roman"/>
          <w:sz w:val="28"/>
          <w:highlight w:val="white"/>
        </w:rPr>
        <w:br/>
        <w:t xml:space="preserve">без учета этой группы показателей. </w:t>
      </w:r>
      <w:r>
        <w:rPr>
          <w:highlight w:val="white"/>
        </w:rPr>
      </w:r>
      <w:r/>
    </w:p>
    <w:p>
      <w:pPr>
        <w:pStyle w:val="1044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ab/>
      </w:r>
      <w:r>
        <w:rPr>
          <w:rFonts w:ascii="Times New Roman" w:hAnsi="Times New Roman" w:cs="Times New Roman"/>
          <w:sz w:val="28"/>
          <w:highlight w:val="white"/>
        </w:rPr>
        <w:t xml:space="preserve">Оценка показателей, входящих в 1 блок осуществляется в медицинских организациях, для которых Комиссией по разработке территориальной программы ОМС распределены объемы оказания медицинской помощи в амбулаторных условия взрослому населению. </w:t>
      </w:r>
      <w:r>
        <w:rPr>
          <w:highlight w:val="white"/>
        </w:rPr>
      </w:r>
      <w:r/>
    </w:p>
    <w:p>
      <w:pPr>
        <w:pStyle w:val="1044"/>
        <w:ind w:firstLine="720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Оценка показател</w:t>
      </w:r>
      <w:r>
        <w:rPr>
          <w:rFonts w:ascii="Times New Roman" w:hAnsi="Times New Roman" w:cs="Times New Roman"/>
          <w:sz w:val="28"/>
          <w:highlight w:val="white"/>
        </w:rPr>
        <w:t xml:space="preserve">ей, входящих во 2 блок осуществляется в медицинских организациях, для которых Комиссией по разработке территориальной программы ОМС распределены объемы оказания медицинской помощи в амбулаторных условия детскому населению. </w:t>
      </w:r>
      <w:r>
        <w:rPr>
          <w:highlight w:val="white"/>
        </w:rPr>
      </w:r>
      <w:r/>
    </w:p>
    <w:p>
      <w:pPr>
        <w:pStyle w:val="1044"/>
        <w:ind w:firstLine="720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Оценка показателей, входящих в 3</w:t>
      </w:r>
      <w:r>
        <w:rPr>
          <w:rFonts w:ascii="Times New Roman" w:hAnsi="Times New Roman" w:cs="Times New Roman"/>
          <w:sz w:val="28"/>
          <w:highlight w:val="white"/>
        </w:rPr>
        <w:t xml:space="preserve"> блок осуществляется в медицинских организациях, для которых Комиссией по разработке территориальной программы ОМС распределены объемы оказания медицинской помощи в амбулаторных условия по профилю акушерство-гинекология. </w:t>
      </w:r>
      <w:r>
        <w:rPr>
          <w:highlight w:val="white"/>
        </w:rPr>
      </w:r>
      <w:r/>
    </w:p>
    <w:p>
      <w:pPr>
        <w:pStyle w:val="1044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</w:r>
      <w:r>
        <w:rPr>
          <w:highlight w:val="white"/>
        </w:rPr>
      </w:r>
      <w:r/>
    </w:p>
    <w:p>
      <w:pPr>
        <w:pStyle w:val="1044"/>
        <w:contextualSpacing/>
        <w:ind w:firstLine="720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Каждый показатель, включенный в б</w:t>
      </w:r>
      <w:r>
        <w:rPr>
          <w:rFonts w:ascii="Times New Roman" w:hAnsi="Times New Roman" w:cs="Times New Roman"/>
          <w:sz w:val="28"/>
          <w:highlight w:val="white"/>
        </w:rPr>
        <w:t xml:space="preserve">лок, оценивается в баллах, которые суммируются. Максимально возможная сумма баллов по каждому блоку составляет:</w:t>
      </w:r>
      <w:r>
        <w:rPr>
          <w:highlight w:val="white"/>
        </w:rPr>
      </w:r>
      <w:r/>
    </w:p>
    <w:p>
      <w:pPr>
        <w:pStyle w:val="1044"/>
        <w:contextualSpacing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- </w:t>
      </w:r>
      <w:r>
        <w:rPr>
          <w:rFonts w:ascii="Times New Roman" w:hAnsi="Times New Roman" w:cs="Times New Roman"/>
          <w:sz w:val="28"/>
          <w:highlight w:val="white"/>
        </w:rPr>
        <w:t xml:space="preserve">19</w:t>
      </w:r>
      <w:r>
        <w:rPr>
          <w:rFonts w:ascii="Times New Roman" w:hAnsi="Times New Roman" w:cs="Times New Roman"/>
          <w:sz w:val="28"/>
          <w:highlight w:val="white"/>
        </w:rPr>
        <w:t xml:space="preserve"> баллов для показателей блока 1;</w:t>
      </w:r>
      <w:r>
        <w:rPr>
          <w:highlight w:val="white"/>
        </w:rPr>
      </w:r>
      <w:r/>
    </w:p>
    <w:p>
      <w:pPr>
        <w:pStyle w:val="1044"/>
        <w:contextualSpacing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- </w:t>
      </w:r>
      <w:r>
        <w:rPr>
          <w:rFonts w:ascii="Times New Roman" w:hAnsi="Times New Roman" w:cs="Times New Roman"/>
          <w:sz w:val="28"/>
          <w:highlight w:val="white"/>
        </w:rPr>
        <w:t xml:space="preserve">7</w:t>
      </w:r>
      <w:r>
        <w:rPr>
          <w:rFonts w:ascii="Times New Roman" w:hAnsi="Times New Roman" w:cs="Times New Roman"/>
          <w:sz w:val="28"/>
          <w:highlight w:val="white"/>
        </w:rPr>
        <w:t xml:space="preserve"> баллов для показателей блока 2;</w:t>
      </w:r>
      <w:r>
        <w:rPr>
          <w:highlight w:val="white"/>
        </w:rPr>
      </w:r>
      <w:r/>
    </w:p>
    <w:p>
      <w:pPr>
        <w:pStyle w:val="1044"/>
        <w:contextualSpacing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- 6 баллов для показателей блока 3.</w:t>
      </w:r>
      <w:r>
        <w:rPr>
          <w:highlight w:val="white"/>
        </w:rPr>
      </w:r>
      <w:r/>
    </w:p>
    <w:p>
      <w:pPr>
        <w:pStyle w:val="1044"/>
        <w:contextualSpacing/>
        <w:ind w:firstLine="720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В зависимости от р</w:t>
      </w:r>
      <w:r>
        <w:rPr>
          <w:rFonts w:ascii="Times New Roman" w:hAnsi="Times New Roman" w:cs="Times New Roman"/>
          <w:sz w:val="28"/>
          <w:highlight w:val="white"/>
        </w:rPr>
        <w:t xml:space="preserve">езультатов деятельности медицинской организации </w:t>
      </w:r>
      <w:r>
        <w:rPr>
          <w:rFonts w:ascii="Times New Roman" w:hAnsi="Times New Roman" w:cs="Times New Roman"/>
          <w:sz w:val="28"/>
          <w:highlight w:val="white"/>
        </w:rPr>
        <w:br/>
        <w:t xml:space="preserve">по каждому показателю определяется балл в диапазоне от 0 до 3 баллов.</w:t>
      </w:r>
      <w:r>
        <w:rPr>
          <w:highlight w:val="white"/>
        </w:rPr>
      </w:r>
      <w:r/>
    </w:p>
    <w:p>
      <w:pPr>
        <w:pStyle w:val="1044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С учетом фактического выполнения показателей,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медицинское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организации распределяются на три группы: </w:t>
      </w:r>
      <w:r>
        <w:rPr>
          <w:rFonts w:ascii="Times New Roman" w:hAnsi="Times New Roman"/>
          <w:color w:val="000000" w:themeColor="text1"/>
          <w:sz w:val="28"/>
          <w:highlight w:val="white"/>
          <w:lang w:val="en-US"/>
        </w:rPr>
        <w:t xml:space="preserve">I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– выполнившие до 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40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процентов показателей, II – от 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40 (включительно)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до 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60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процентов показателей, </w:t>
      </w:r>
      <w:r>
        <w:rPr>
          <w:rFonts w:ascii="Times New Roman" w:hAnsi="Times New Roman"/>
          <w:color w:val="000000" w:themeColor="text1"/>
          <w:sz w:val="28"/>
          <w:highlight w:val="white"/>
          <w:lang w:val="en-US"/>
        </w:rPr>
        <w:t xml:space="preserve">III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от 60 (включительно)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процентов показателей.</w:t>
      </w:r>
      <w:r>
        <w:rPr>
          <w:highlight w:val="white"/>
        </w:rPr>
      </w:r>
      <w:r/>
    </w:p>
    <w:p>
      <w:pPr>
        <w:pStyle w:val="1044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Порядок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расчета значений показателей результативности деятельности медицинских организаций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определен приложением №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 к Тарифному соглашению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highlight w:val="white"/>
        </w:rPr>
      </w:r>
      <w:r/>
    </w:p>
    <w:p>
      <w:pPr>
        <w:pStyle w:val="1044"/>
        <w:ind w:firstLine="720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Оценка </w:t>
      </w:r>
      <w:r>
        <w:rPr>
          <w:rFonts w:ascii="Times New Roman" w:hAnsi="Times New Roman" w:cs="Times New Roman"/>
          <w:sz w:val="28"/>
          <w:highlight w:val="white"/>
        </w:rPr>
        <w:t xml:space="preserve">достижения значений показателей результативности деятельности медицинских организаций</w:t>
      </w:r>
      <w:r>
        <w:rPr>
          <w:rFonts w:ascii="Times New Roman" w:hAnsi="Times New Roman" w:cs="Times New Roman"/>
          <w:sz w:val="28"/>
          <w:highlight w:val="white"/>
        </w:rPr>
        <w:t xml:space="preserve"> оформляется решением Комиссии по разработке терри</w:t>
      </w:r>
      <w:r>
        <w:rPr>
          <w:rFonts w:ascii="Times New Roman" w:hAnsi="Times New Roman" w:cs="Times New Roman"/>
          <w:sz w:val="28"/>
          <w:highlight w:val="white"/>
        </w:rPr>
        <w:t xml:space="preserve">ториальной программы ОМС, которое доводится до сведения медицинских организаций не позднее 25 числа месяца, следующего за отчетным периодом. </w:t>
      </w:r>
      <w:r>
        <w:rPr>
          <w:highlight w:val="white"/>
        </w:rPr>
      </w:r>
      <w:r/>
    </w:p>
    <w:p>
      <w:pPr>
        <w:pStyle w:val="1044"/>
        <w:contextualSpacing/>
        <w:ind w:firstLine="720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Объем средств, направляемый в медицинские организации по итогам </w:t>
      </w:r>
      <w:r>
        <w:rPr>
          <w:rFonts w:ascii="Times New Roman" w:hAnsi="Times New Roman" w:cs="Times New Roman"/>
          <w:sz w:val="28"/>
          <w:highlight w:val="white"/>
        </w:rPr>
        <w:t xml:space="preserve">оценки достижения значений показателей результатив</w:t>
      </w:r>
      <w:r>
        <w:rPr>
          <w:rFonts w:ascii="Times New Roman" w:hAnsi="Times New Roman" w:cs="Times New Roman"/>
          <w:sz w:val="28"/>
          <w:highlight w:val="white"/>
        </w:rPr>
        <w:t xml:space="preserve">ности</w:t>
      </w:r>
      <w:r>
        <w:rPr>
          <w:rFonts w:ascii="Times New Roman" w:hAnsi="Times New Roman" w:cs="Times New Roman"/>
          <w:sz w:val="28"/>
          <w:highlight w:val="white"/>
        </w:rPr>
        <w:t xml:space="preserve"> деятельности, складывается из двух частей:</w:t>
      </w:r>
      <w:r>
        <w:rPr>
          <w:highlight w:val="white"/>
        </w:rPr>
      </w:r>
      <w:r/>
    </w:p>
    <w:p>
      <w:pPr>
        <w:pStyle w:val="1044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highlight w:val="white"/>
        </w:rPr>
        <w:t xml:space="preserve">1 часть</w:t>
      </w:r>
      <w:r>
        <w:rPr>
          <w:rFonts w:ascii="Times New Roman" w:hAnsi="Times New Roman" w:cs="Times New Roman"/>
          <w:sz w:val="28"/>
          <w:highlight w:val="white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  <w:r>
        <w:rPr>
          <w:highlight w:val="white"/>
        </w:rPr>
      </w:r>
      <w:r/>
    </w:p>
    <w:p>
      <w:pPr>
        <w:pStyle w:val="1044"/>
        <w:contextualSpacing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Указанные средства распределяются среди медицинских организаций </w:t>
      </w:r>
      <w:r>
        <w:rPr>
          <w:rFonts w:ascii="Times New Roman" w:hAnsi="Times New Roman" w:cs="Times New Roman"/>
          <w:sz w:val="28"/>
          <w:highlight w:val="white"/>
        </w:rPr>
        <w:br/>
      </w:r>
      <w:r>
        <w:rPr>
          <w:rFonts w:ascii="Times New Roman" w:hAnsi="Times New Roman" w:cs="Times New Roman"/>
          <w:sz w:val="28"/>
          <w:highlight w:val="white"/>
          <w:lang w:val="en-US"/>
        </w:rPr>
        <w:t xml:space="preserve">II</w:t>
      </w:r>
      <w:r>
        <w:rPr>
          <w:rFonts w:ascii="Times New Roman" w:hAnsi="Times New Roman" w:cs="Times New Roman"/>
          <w:sz w:val="28"/>
          <w:highlight w:val="white"/>
        </w:rPr>
        <w:t xml:space="preserve"> и </w:t>
      </w:r>
      <w:r>
        <w:rPr>
          <w:rFonts w:ascii="Times New Roman" w:hAnsi="Times New Roman" w:cs="Times New Roman"/>
          <w:sz w:val="28"/>
          <w:highlight w:val="white"/>
          <w:lang w:val="en-US"/>
        </w:rPr>
        <w:t xml:space="preserve">III</w:t>
      </w:r>
      <w:r>
        <w:rPr>
          <w:rFonts w:ascii="Times New Roman" w:hAnsi="Times New Roman" w:cs="Times New Roman"/>
          <w:sz w:val="28"/>
          <w:highlight w:val="white"/>
        </w:rPr>
        <w:t xml:space="preserve"> групп с учето</w:t>
      </w:r>
      <w:r>
        <w:rPr>
          <w:rFonts w:ascii="Times New Roman" w:hAnsi="Times New Roman" w:cs="Times New Roman"/>
          <w:sz w:val="28"/>
          <w:highlight w:val="white"/>
        </w:rPr>
        <w:t xml:space="preserve">м численности прикрепленного населения.</w:t>
      </w:r>
      <w:r>
        <w:rPr>
          <w:highlight w:val="white"/>
        </w:rPr>
      </w:r>
      <w:r/>
    </w:p>
    <w:p>
      <w:pPr>
        <w:pStyle w:val="1044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</w:r>
      <w:r>
        <w:rPr>
          <w:highlight w:val="white"/>
        </w:rPr>
      </w:r>
      <w:r/>
    </w:p>
    <w:p>
      <w:pPr>
        <w:pStyle w:val="1044"/>
        <w:jc w:val="center"/>
        <w:rPr>
          <w:rFonts w:ascii="Times New Roman" w:hAnsi="Times New Roman" w:cs="Times New Roman"/>
          <w:sz w:val="28"/>
          <w:highlight w:val="white"/>
        </w:rPr>
      </w:pPr>
      <w:r>
        <w:rPr>
          <w:highlight w:val="white"/>
        </w:rPr>
      </w:r>
      <m:oMath>
        <m:sSubSup>
          <m:sSubSupPr>
            <m:alnScr m:val="off"/>
            <m:ctrlPr>
              <w:rPr>
                <w:rFonts w:ascii="Cambria Math" w:hAnsi="Cambria Math" w:cs="Cambria Math" w:eastAsia="Cambria Math"/>
                <w:i/>
                <w:sz w:val="28"/>
                <w:highlight w:val="white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ОС</m:t>
            </m:r>
          </m:e>
          <m:sub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РД(нас)</m:t>
            </m:r>
          </m:sub>
          <m:sup>
            <m:r>
              <w:rPr>
                <w:rFonts w:ascii="Cambria Math" w:hAnsi="Cambria Math" w:cs="Times New Roman"/>
                <w:sz w:val="28"/>
                <w:highlight w:val="white"/>
                <w:lang w:val="en-US"/>
              </w:rPr>
              <m:rPr/>
              <m:t>j</m:t>
            </m:r>
          </m:sup>
        </m:sSubSup>
        <m:r>
          <w:rPr>
            <w:rFonts w:ascii="Cambria Math" w:hAnsi="Cambria Math" w:cs="Times New Roman"/>
            <w:sz w:val="28"/>
            <w:highlight w:val="white"/>
          </w:rPr>
          <m:rPr/>
          <m:t>=</m:t>
        </m:r>
        <m:f>
          <m:fPr>
            <m:ctrlPr>
              <w:rPr>
                <w:rFonts w:ascii="Cambria Math" w:hAnsi="Cambria Math" w:cs="Cambria Math" w:eastAsia="Cambria Math"/>
                <w:i/>
                <w:sz w:val="28"/>
                <w:highlight w:val="white"/>
              </w:rPr>
            </m:ctrlPr>
          </m:fPr>
          <m:num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0,7×</m:t>
            </m:r>
            <m:sSubSup>
              <m:sSubSupPr>
                <m:alnScr m:val="off"/>
                <m:ctrlPr>
                  <w:rPr>
                    <w:rFonts w:ascii="Cambria Math" w:hAnsi="Cambria Math" w:cs="Cambria Math" w:eastAsia="Cambria Math"/>
                    <w:i/>
                    <w:sz w:val="28"/>
                    <w:highlight w:val="white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highlight w:val="white"/>
                  </w:rPr>
                  <m:rPr/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highlight w:val="white"/>
                  </w:rPr>
                  <m:rPr/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highlight w:val="white"/>
                    <w:lang w:val="en-US"/>
                  </w:rPr>
                  <m:rPr/>
                  <m:t>j</m:t>
                </m:r>
              </m:sup>
            </m:sSubSup>
          </m:num>
          <m:den>
            <m:nary>
              <m:naryPr>
                <m:chr m:val="∑"/>
                <m:grow m:val="off"/>
                <m:limLoc m:val="undOvr"/>
                <m:subHide m:val="on"/>
                <m:supHide m:val="on"/>
                <m:ctrlPr>
                  <w:rPr>
                    <w:rFonts w:ascii="Cambria Math" w:hAnsi="Cambria Math" w:cs="Cambria Math" w:eastAsia="Cambria Math"/>
                    <w:i/>
                    <w:sz w:val="28"/>
                    <w:highlight w:val="white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  <w:highlight w:val="white"/>
                  </w:rPr>
                  <m:rPr/>
                  <m:t>Числ</m:t>
                </m:r>
              </m:e>
            </m:nary>
          </m:den>
        </m:f>
      </m:oMath>
      <w:r>
        <w:rPr>
          <w:rFonts w:ascii="Times New Roman" w:hAnsi="Times New Roman" w:cs="Times New Roman"/>
          <w:sz w:val="28"/>
          <w:highlight w:val="white"/>
        </w:rPr>
        <w:t xml:space="preserve">, </w:t>
      </w:r>
      <w:r>
        <w:rPr>
          <w:highlight w:val="white"/>
        </w:rPr>
      </w:r>
      <w:r/>
    </w:p>
    <w:p>
      <w:pPr>
        <w:pStyle w:val="1044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где:</w:t>
      </w:r>
      <w:r>
        <w:rPr>
          <w:highlight w:val="white"/>
        </w:rPr>
      </w:r>
      <w:r/>
    </w:p>
    <w:p>
      <w:pPr>
        <w:pStyle w:val="1044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highlight w:val="white"/>
        </w:rPr>
      </w:r>
      <m:oMath>
        <m:sSubSup>
          <m:sSubSupPr>
            <m:alnScr m:val="off"/>
            <m:ctrlPr>
              <w:rPr>
                <w:rFonts w:ascii="Cambria Math" w:hAnsi="Cambria Math" w:cs="Cambria Math" w:eastAsia="Cambria Math"/>
                <w:i/>
                <w:sz w:val="28"/>
                <w:highlight w:val="white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ОС</m:t>
            </m:r>
          </m:e>
          <m:sub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РД(нас)</m:t>
            </m:r>
          </m:sub>
          <m:sup>
            <m:r>
              <w:rPr>
                <w:rFonts w:ascii="Cambria Math" w:hAnsi="Cambria Math" w:cs="Times New Roman"/>
                <w:sz w:val="28"/>
                <w:highlight w:val="white"/>
                <w:lang w:val="en-US"/>
              </w:rPr>
              <m:rPr/>
              <m:t>j</m:t>
            </m:r>
          </m:sup>
        </m:sSubSup>
        <m:r>
          <w:rPr>
            <w:rFonts w:ascii="Cambria Math" w:hAnsi="Cambria Math" w:cs="Times New Roman"/>
            <w:sz w:val="28"/>
            <w:highlight w:val="white"/>
          </w:rPr>
          <m:rPr/>
          <m:t>   </m:t>
        </m:r>
      </m:oMath>
      <w:r>
        <w:rPr>
          <w:rFonts w:ascii="Times New Roman" w:hAnsi="Times New Roman" w:cs="Times New Roman"/>
          <w:sz w:val="28"/>
          <w:highlight w:val="white"/>
        </w:rPr>
        <w:t xml:space="preserve">объем средств, используемый при распределении </w:t>
      </w:r>
      <w:r>
        <w:rPr>
          <w:rFonts w:ascii="Times New Roman" w:hAnsi="Times New Roman" w:cs="Times New Roman"/>
          <w:sz w:val="28"/>
          <w:highlight w:val="white"/>
        </w:rPr>
        <w:br/>
        <w:t xml:space="preserve">70 процентов от объема средств на стимулирование медицинских организаций за </w:t>
      </w:r>
      <w:r>
        <w:rPr>
          <w:rFonts w:ascii="Times New Roman" w:hAnsi="Times New Roman" w:cs="Times New Roman"/>
          <w:sz w:val="28"/>
          <w:highlight w:val="white"/>
          <w:lang w:val="en-US"/>
        </w:rPr>
        <w:t xml:space="preserve">j</w:t>
      </w:r>
      <w:r>
        <w:rPr>
          <w:rFonts w:ascii="Times New Roman" w:hAnsi="Times New Roman" w:cs="Times New Roman"/>
          <w:sz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highlight w:val="white"/>
        </w:rPr>
        <w:t xml:space="preserve">ый</w:t>
      </w:r>
      <w:r>
        <w:rPr>
          <w:rFonts w:ascii="Times New Roman" w:hAnsi="Times New Roman" w:cs="Times New Roman"/>
          <w:sz w:val="28"/>
          <w:highlight w:val="white"/>
        </w:rPr>
        <w:t xml:space="preserve"> период, в расчете на 1 пр</w:t>
      </w:r>
      <w:r>
        <w:rPr>
          <w:rFonts w:ascii="Times New Roman" w:hAnsi="Times New Roman" w:cs="Times New Roman"/>
          <w:sz w:val="28"/>
          <w:highlight w:val="white"/>
        </w:rPr>
        <w:t xml:space="preserve">икрепленное лицо, рублей;</w:t>
      </w:r>
      <w:r>
        <w:rPr>
          <w:highlight w:val="white"/>
        </w:rPr>
      </w:r>
      <w:r/>
    </w:p>
    <w:p>
      <w:pPr>
        <w:pStyle w:val="1044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highlight w:val="white"/>
        </w:rPr>
      </w:r>
      <m:oMath>
        <m:sSubSup>
          <m:sSubSupPr>
            <m:alnScr m:val="off"/>
            <m:ctrlPr>
              <w:rPr>
                <w:rFonts w:ascii="Cambria Math" w:hAnsi="Cambria Math" w:cs="Cambria Math" w:eastAsia="Cambria Math"/>
                <w:i/>
                <w:sz w:val="28"/>
                <w:highlight w:val="white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ОС</m:t>
            </m:r>
          </m:e>
          <m:sub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РД</m:t>
            </m:r>
          </m:sub>
          <m:sup>
            <m:r>
              <w:rPr>
                <w:rFonts w:ascii="Cambria Math" w:hAnsi="Cambria Math" w:cs="Times New Roman"/>
                <w:sz w:val="28"/>
                <w:highlight w:val="white"/>
                <w:lang w:val="en-US"/>
              </w:rPr>
              <m:rPr/>
              <m:t>j</m:t>
            </m:r>
          </m:sup>
        </m:sSubSup>
      </m:oMath>
      <w:r>
        <w:rPr>
          <w:rFonts w:ascii="Times New Roman" w:hAnsi="Times New Roman" w:cs="Times New Roman"/>
          <w:sz w:val="28"/>
          <w:highlight w:val="white"/>
        </w:rPr>
        <w:t xml:space="preserve">    совокупный объем средств на стимулирование медицинских организаций за </w:t>
      </w:r>
      <w:r>
        <w:rPr>
          <w:rFonts w:ascii="Times New Roman" w:hAnsi="Times New Roman" w:cs="Times New Roman"/>
          <w:sz w:val="28"/>
          <w:highlight w:val="white"/>
          <w:lang w:val="en-US"/>
        </w:rPr>
        <w:t xml:space="preserve">j</w:t>
      </w:r>
      <w:r>
        <w:rPr>
          <w:rFonts w:ascii="Times New Roman" w:hAnsi="Times New Roman" w:cs="Times New Roman"/>
          <w:sz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highlight w:val="white"/>
        </w:rPr>
        <w:t xml:space="preserve">ый</w:t>
      </w:r>
      <w:r>
        <w:rPr>
          <w:rFonts w:ascii="Times New Roman" w:hAnsi="Times New Roman" w:cs="Times New Roman"/>
          <w:sz w:val="28"/>
          <w:highlight w:val="white"/>
        </w:rPr>
        <w:t xml:space="preserve"> период, рублей;</w:t>
      </w:r>
      <w:r>
        <w:rPr>
          <w:highlight w:val="white"/>
        </w:rPr>
      </w:r>
      <w:r/>
    </w:p>
    <w:p>
      <w:pPr>
        <w:pStyle w:val="1044"/>
        <w:jc w:val="both"/>
        <w:rPr>
          <w:rFonts w:ascii="Times New Roman" w:hAnsi="Times New Roman" w:cs="Times New Roman" w:eastAsiaTheme="minorEastAsia"/>
          <w:sz w:val="28"/>
          <w:szCs w:val="28"/>
          <w:highlight w:val="white"/>
        </w:rPr>
      </w:pPr>
      <w:r>
        <w:rPr>
          <w:highlight w:val="white"/>
        </w:rPr>
      </w:r>
      <m:oMath>
        <m:nary>
          <m:naryPr>
            <m:chr m:val="∑"/>
            <m:grow m:val="off"/>
            <m:limLoc m:val="undOvr"/>
            <m:subHide m:val="on"/>
            <m:supHide m:val="on"/>
            <m:ctrlPr>
              <w:rPr>
                <w:rFonts w:ascii="Cambria Math" w:hAnsi="Cambria Math" w:cs="Cambria Math" w:eastAsia="Cambria Math"/>
                <w:i/>
                <w:sz w:val="28"/>
                <w:highlight w:val="white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Числ</m:t>
            </m:r>
          </m:e>
        </m:nary>
      </m:oMath>
      <w:r>
        <w:rPr>
          <w:rFonts w:ascii="Times New Roman" w:hAnsi="Times New Roman" w:cs="Times New Roman"/>
          <w:sz w:val="28"/>
          <w:highlight w:val="white"/>
        </w:rPr>
        <w:t xml:space="preserve">   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численность прикрепленного населения в 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  <w:lang w:val="en-US"/>
        </w:rPr>
        <w:t xml:space="preserve">j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-м периоде ко всем медицинским организациям </w:t>
      </w:r>
      <w:r>
        <w:rPr>
          <w:rFonts w:ascii="Times New Roman" w:hAnsi="Times New Roman" w:cs="Times New Roman"/>
          <w:sz w:val="28"/>
          <w:highlight w:val="white"/>
          <w:lang w:val="en-US"/>
        </w:rPr>
        <w:t xml:space="preserve">II</w:t>
      </w:r>
      <w:r>
        <w:rPr>
          <w:rFonts w:ascii="Times New Roman" w:hAnsi="Times New Roman" w:cs="Times New Roman"/>
          <w:sz w:val="28"/>
          <w:highlight w:val="white"/>
        </w:rPr>
        <w:t xml:space="preserve"> и </w:t>
      </w:r>
      <w:r>
        <w:rPr>
          <w:rFonts w:ascii="Times New Roman" w:hAnsi="Times New Roman" w:cs="Times New Roman"/>
          <w:sz w:val="28"/>
          <w:highlight w:val="white"/>
          <w:lang w:val="en-US"/>
        </w:rPr>
        <w:t xml:space="preserve">III</w:t>
      </w:r>
      <w:r>
        <w:rPr>
          <w:rFonts w:ascii="Times New Roman" w:hAnsi="Times New Roman" w:cs="Times New Roman"/>
          <w:sz w:val="28"/>
          <w:highlight w:val="white"/>
        </w:rPr>
        <w:t xml:space="preserve"> групп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Theme="minorEastAsia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качестве численности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прикрепленного населения к конкретной </w:t>
      </w:r>
      <w:r>
        <w:rPr>
          <w:rFonts w:ascii="Times New Roman" w:hAnsi="Times New Roman" w:cs="Times New Roman"/>
          <w:sz w:val="28"/>
          <w:highlight w:val="white"/>
        </w:rPr>
        <w:t xml:space="preserve">медицинской организации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рекомендуется использовать среднюю численность за период. 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Объем средств, направляемый в </w:t>
      </w:r>
      <w:r>
        <w:rPr>
          <w:rFonts w:ascii="Times New Roman" w:hAnsi="Times New Roman" w:cs="Times New Roman"/>
          <w:sz w:val="28"/>
          <w:highlight w:val="white"/>
          <w:lang w:val="en-US"/>
        </w:rPr>
        <w:t xml:space="preserve">i</w:t>
      </w:r>
      <w:r>
        <w:rPr>
          <w:rFonts w:ascii="Times New Roman" w:hAnsi="Times New Roman" w:cs="Times New Roman"/>
          <w:sz w:val="28"/>
          <w:highlight w:val="white"/>
        </w:rPr>
        <w:t xml:space="preserve">-ю медицинскую организацию </w:t>
      </w:r>
      <w:r>
        <w:rPr>
          <w:rFonts w:ascii="Times New Roman" w:hAnsi="Times New Roman" w:cs="Times New Roman"/>
          <w:sz w:val="28"/>
          <w:highlight w:val="white"/>
          <w:lang w:val="en-US"/>
        </w:rPr>
        <w:t xml:space="preserve">II</w:t>
      </w:r>
      <w:r>
        <w:rPr>
          <w:rFonts w:ascii="Times New Roman" w:hAnsi="Times New Roman" w:cs="Times New Roman"/>
          <w:sz w:val="28"/>
          <w:highlight w:val="white"/>
        </w:rPr>
        <w:t xml:space="preserve"> и </w:t>
      </w:r>
      <w:r>
        <w:rPr>
          <w:rFonts w:ascii="Times New Roman" w:hAnsi="Times New Roman" w:cs="Times New Roman"/>
          <w:sz w:val="28"/>
          <w:highlight w:val="white"/>
          <w:lang w:val="en-US"/>
        </w:rPr>
        <w:t xml:space="preserve">III</w:t>
      </w:r>
      <w:r>
        <w:rPr>
          <w:rFonts w:ascii="Times New Roman" w:hAnsi="Times New Roman" w:cs="Times New Roman"/>
          <w:sz w:val="28"/>
          <w:highlight w:val="white"/>
        </w:rPr>
        <w:t xml:space="preserve"> групп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 за 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  <w:lang w:val="en-US"/>
        </w:rPr>
        <w:t xml:space="preserve">j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тый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 период</w:t>
      </w:r>
      <w:r>
        <w:rPr>
          <w:rFonts w:ascii="Times New Roman" w:hAnsi="Times New Roman" w:cs="Times New Roman"/>
          <w:sz w:val="28"/>
          <w:highlight w:val="white"/>
        </w:rPr>
        <w:t xml:space="preserve"> при распределении 70 процентов от объема сред</w:t>
      </w:r>
      <w:r>
        <w:rPr>
          <w:rFonts w:ascii="Times New Roman" w:hAnsi="Times New Roman" w:cs="Times New Roman"/>
          <w:sz w:val="28"/>
          <w:highlight w:val="white"/>
        </w:rPr>
        <w:t xml:space="preserve">ств </w:t>
      </w:r>
      <w:r>
        <w:rPr>
          <w:rFonts w:ascii="Times New Roman" w:hAnsi="Times New Roman" w:cs="Times New Roman"/>
          <w:sz w:val="28"/>
          <w:highlight w:val="white"/>
        </w:rPr>
        <w:br/>
        <w:t xml:space="preserve">с учетом показателей результативности (</w:t>
      </w:r>
      <m:oMath>
        <m:sSubSup>
          <m:sSubSupPr>
            <m:alnScr m:val="off"/>
            <m:ctrlPr>
              <w:rPr>
                <w:rFonts w:ascii="Cambria Math" w:hAnsi="Cambria Math" w:cs="Cambria Math" w:eastAsia="Cambria Math"/>
                <w:i/>
                <w:sz w:val="32"/>
                <w:szCs w:val="32"/>
                <w:highlight w:val="white"/>
              </w:rPr>
            </m:ctrlPr>
          </m:sSubSupPr>
          <m:e>
            <m:sSub>
              <m:sSubPr>
                <m:ctrlPr>
                  <w:rPr>
                    <w:rFonts w:ascii="Cambria Math" w:hAnsi="Cambria Math" w:cs="Cambria Math" w:eastAsia="Cambria Math"/>
                    <w:i/>
                    <w:sz w:val="32"/>
                    <w:szCs w:val="32"/>
                    <w:highlight w:val="white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  <w:highlight w:val="white"/>
                  </w:rPr>
                  <m:rPr/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  <w:highlight w:val="white"/>
                  </w:rPr>
                  <m:rPr/>
                  <m:t>Р</m:t>
                </m:r>
                <m:r>
                  <w:rPr>
                    <w:rFonts w:ascii="Cambria Math" w:hAnsi="Cambria Math" w:cs="Times New Roman"/>
                    <w:sz w:val="32"/>
                    <w:szCs w:val="32"/>
                    <w:highlight w:val="white"/>
                  </w:rPr>
                  <m:rPr/>
                  <m:t>Д(</m:t>
                </m:r>
                <m:r>
                  <w:rPr>
                    <w:rFonts w:ascii="Cambria Math" w:hAnsi="Cambria Math" w:cs="Times New Roman"/>
                    <w:sz w:val="32"/>
                    <w:szCs w:val="32"/>
                    <w:highlight w:val="white"/>
                  </w:rPr>
                  <m:rPr/>
                  <m:t>нас)</m:t>
                </m:r>
              </m:sub>
            </m:sSub>
          </m:e>
          <m:sub>
            <m:r>
              <w:rPr>
                <w:rFonts w:ascii="Cambria Math" w:hAnsi="Cambria Math" w:cs="Times New Roman"/>
                <w:sz w:val="32"/>
                <w:szCs w:val="32"/>
                <w:highlight w:val="white"/>
              </w:rPr>
              <m:rPr/>
              <m:t>i</m:t>
            </m:r>
          </m:sub>
          <m:sup>
            <m:r>
              <w:rPr>
                <w:rFonts w:ascii="Cambria Math" w:hAnsi="Cambria Math" w:cs="Times New Roman"/>
                <w:sz w:val="32"/>
                <w:szCs w:val="32"/>
                <w:highlight w:val="white"/>
                <w:lang w:val="en-US"/>
              </w:rPr>
              <m:rPr/>
              <m:t>j</m:t>
            </m:r>
          </m:sup>
        </m:sSubSup>
      </m:oMath>
      <w:r>
        <w:rPr>
          <w:rFonts w:ascii="Times New Roman" w:hAnsi="Times New Roman" w:cs="Times New Roman"/>
          <w:sz w:val="28"/>
          <w:highlight w:val="white"/>
        </w:rPr>
        <w:t xml:space="preserve">), рассчитывается следующим образом:</w:t>
      </w:r>
      <w:r>
        <w:rPr>
          <w:highlight w:val="white"/>
        </w:rPr>
      </w:r>
      <w:r/>
    </w:p>
    <w:p>
      <w:pPr>
        <w:jc w:val="center"/>
        <w:rPr>
          <w:rFonts w:ascii="Times New Roman" w:hAnsi="Times New Roman" w:cs="Times New Roman" w:eastAsiaTheme="minorEastAsia"/>
          <w:sz w:val="28"/>
          <w:highlight w:val="white"/>
        </w:rPr>
      </w:pPr>
      <w:r>
        <w:rPr>
          <w:highlight w:val="white"/>
        </w:rPr>
      </w:r>
      <m:oMath>
        <m:sSubSup>
          <m:sSubSupPr>
            <m:alnScr m:val="off"/>
            <m:ctrlPr>
              <w:rPr>
                <w:rFonts w:ascii="Cambria Math" w:hAnsi="Cambria Math" w:cs="Cambria Math" w:eastAsia="Cambria Math"/>
                <w:i/>
                <w:sz w:val="32"/>
                <w:szCs w:val="32"/>
                <w:highlight w:val="white"/>
              </w:rPr>
            </m:ctrlPr>
          </m:sSubSupPr>
          <m:e>
            <m:sSub>
              <m:sSubPr>
                <m:ctrlPr>
                  <w:rPr>
                    <w:rFonts w:ascii="Cambria Math" w:hAnsi="Cambria Math" w:cs="Cambria Math" w:eastAsia="Cambria Math"/>
                    <w:i/>
                    <w:sz w:val="32"/>
                    <w:szCs w:val="32"/>
                    <w:highlight w:val="white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  <w:highlight w:val="white"/>
                  </w:rPr>
                  <m:rPr/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  <w:highlight w:val="white"/>
                  </w:rPr>
                  <m:rPr/>
                  <m:t>РД(нас)</m:t>
                </m:r>
              </m:sub>
            </m:sSub>
          </m:e>
          <m:sub>
            <m:r>
              <w:rPr>
                <w:rFonts w:ascii="Cambria Math" w:hAnsi="Cambria Math" w:cs="Times New Roman"/>
                <w:sz w:val="32"/>
                <w:szCs w:val="32"/>
                <w:highlight w:val="white"/>
              </w:rPr>
              <m:rPr/>
              <m:t>i</m:t>
            </m:r>
          </m:sub>
          <m:sup>
            <m:r>
              <w:rPr>
                <w:rFonts w:ascii="Cambria Math" w:hAnsi="Cambria Math" w:cs="Times New Roman"/>
                <w:sz w:val="32"/>
                <w:szCs w:val="32"/>
                <w:highlight w:val="white"/>
                <w:lang w:val="en-US"/>
              </w:rPr>
              <m:rPr/>
              <m:t>j</m:t>
            </m:r>
          </m:sup>
        </m:sSubSup>
        <m:r>
          <w:rPr>
            <w:rFonts w:ascii="Cambria Math" w:hAnsi="Cambria Math" w:cs="Times New Roman" w:eastAsiaTheme="minorEastAsia"/>
            <w:sz w:val="32"/>
            <w:szCs w:val="32"/>
            <w:highlight w:val="white"/>
          </w:rPr>
          <m:rPr/>
          <m:t>=</m:t>
        </m:r>
        <m:sSubSup>
          <m:sSubSupPr>
            <m:alnScr m:val="off"/>
            <m:ctrlPr>
              <w:rPr>
                <w:rFonts w:ascii="Cambria Math" w:hAnsi="Cambria Math" w:cs="Cambria Math" w:eastAsia="Cambria Math"/>
                <w:i/>
                <w:sz w:val="28"/>
                <w:highlight w:val="white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ОС</m:t>
            </m:r>
          </m:e>
          <m:sub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РД(нас)</m:t>
            </m:r>
          </m:sub>
          <m:sup>
            <m:r>
              <w:rPr>
                <w:rFonts w:ascii="Cambria Math" w:hAnsi="Cambria Math" w:cs="Times New Roman"/>
                <w:sz w:val="28"/>
                <w:highlight w:val="white"/>
                <w:lang w:val="en-US"/>
              </w:rPr>
              <m:rPr/>
              <m:t>j</m:t>
            </m:r>
          </m:sup>
        </m:sSubSup>
        <m:r>
          <w:rPr>
            <w:rFonts w:ascii="Cambria Math" w:hAnsi="Cambria Math" w:cs="Times New Roman" w:eastAsia="Times New Roman"/>
            <w:sz w:val="28"/>
            <w:highlight w:val="white"/>
          </w:rPr>
          <m:rPr/>
          <m:t>×</m:t>
        </m:r>
        <m:sSubSup>
          <m:sSubSupPr>
            <m:alnScr m:val="off"/>
            <m:ctrlPr>
              <w:rPr>
                <w:rFonts w:ascii="Cambria Math" w:hAnsi="Cambria Math" w:cs="Cambria Math" w:eastAsia="Cambria Math"/>
                <w:i/>
                <w:sz w:val="28"/>
                <w:highlight w:val="white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Числ</m:t>
            </m:r>
          </m:e>
          <m:sub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i</m:t>
            </m:r>
          </m:sub>
          <m:sup>
            <m:r>
              <w:rPr>
                <w:rFonts w:ascii="Cambria Math" w:hAnsi="Cambria Math" w:cs="Times New Roman"/>
                <w:sz w:val="28"/>
                <w:highlight w:val="white"/>
                <w:lang w:val="en-US"/>
              </w:rPr>
              <m:rPr/>
              <m:t>j</m:t>
            </m:r>
          </m:sup>
        </m:sSubSup>
      </m:oMath>
      <w:r>
        <w:rPr>
          <w:rFonts w:ascii="Times New Roman" w:hAnsi="Times New Roman" w:cs="Times New Roman" w:eastAsiaTheme="minorEastAsia"/>
          <w:sz w:val="28"/>
          <w:highlight w:val="white"/>
        </w:rPr>
        <w:t xml:space="preserve">, </w:t>
      </w:r>
      <w:r>
        <w:rPr>
          <w:highlight w:val="white"/>
        </w:rPr>
      </w:r>
      <w:r/>
    </w:p>
    <w:p>
      <w:pPr>
        <w:rPr>
          <w:rFonts w:ascii="Times New Roman" w:hAnsi="Times New Roman" w:cs="Times New Roman" w:eastAsiaTheme="minorEastAsia"/>
          <w:sz w:val="28"/>
          <w:highlight w:val="white"/>
        </w:rPr>
      </w:pPr>
      <w:r>
        <w:rPr>
          <w:rFonts w:ascii="Times New Roman" w:hAnsi="Times New Roman" w:cs="Times New Roman" w:eastAsiaTheme="minorEastAsia"/>
          <w:sz w:val="28"/>
          <w:highlight w:val="white"/>
        </w:rPr>
        <w:t xml:space="preserve">где</w:t>
      </w:r>
      <w:r>
        <w:rPr>
          <w:highlight w:val="white"/>
        </w:rPr>
      </w:r>
      <w:r/>
    </w:p>
    <w:p>
      <w:pPr>
        <w:pStyle w:val="1044"/>
        <w:jc w:val="both"/>
        <w:rPr>
          <w:rFonts w:ascii="Times New Roman" w:hAnsi="Times New Roman" w:cs="Times New Roman" w:eastAsiaTheme="minorEastAsia"/>
          <w:sz w:val="28"/>
          <w:szCs w:val="28"/>
          <w:highlight w:val="white"/>
        </w:rPr>
      </w:pPr>
      <w:r>
        <w:rPr>
          <w:highlight w:val="white"/>
        </w:rPr>
      </w:r>
      <m:oMath>
        <m:sSubSup>
          <m:sSubSupPr>
            <m:alnScr m:val="off"/>
            <m:ctrlPr>
              <w:rPr>
                <w:rFonts w:ascii="Cambria Math" w:hAnsi="Cambria Math" w:cs="Cambria Math" w:eastAsia="Cambria Math"/>
                <w:i/>
                <w:sz w:val="28"/>
                <w:highlight w:val="white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Числ</m:t>
            </m:r>
          </m:e>
          <m:sub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i</m:t>
            </m:r>
          </m:sub>
          <m:sup>
            <m:r>
              <w:rPr>
                <w:rFonts w:ascii="Cambria Math" w:hAnsi="Cambria Math" w:cs="Times New Roman"/>
                <w:sz w:val="28"/>
                <w:highlight w:val="white"/>
                <w:lang w:val="en-US"/>
              </w:rPr>
              <m:rPr/>
              <m:t>j</m:t>
            </m:r>
          </m:sup>
        </m:sSubSup>
      </m:oMath>
      <w:r>
        <w:rPr>
          <w:rFonts w:ascii="Times New Roman" w:hAnsi="Times New Roman" w:cs="Times New Roman"/>
          <w:sz w:val="28"/>
          <w:highlight w:val="white"/>
        </w:rPr>
        <w:t xml:space="preserve">– 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численность прикрепленного населения в 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  <w:lang w:val="en-US"/>
        </w:rPr>
        <w:t xml:space="preserve">j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-м периоде 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br/>
        <w:t xml:space="preserve">к 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  <w:lang w:val="en-US"/>
        </w:rPr>
        <w:t xml:space="preserve">i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-той медицинской организации </w:t>
      </w:r>
      <w:r>
        <w:rPr>
          <w:rFonts w:ascii="Times New Roman" w:hAnsi="Times New Roman" w:cs="Times New Roman"/>
          <w:sz w:val="28"/>
          <w:highlight w:val="white"/>
          <w:lang w:val="en-US"/>
        </w:rPr>
        <w:t xml:space="preserve">II</w:t>
      </w:r>
      <w:r>
        <w:rPr>
          <w:rFonts w:ascii="Times New Roman" w:hAnsi="Times New Roman" w:cs="Times New Roman"/>
          <w:sz w:val="28"/>
          <w:highlight w:val="white"/>
        </w:rPr>
        <w:t xml:space="preserve"> и </w:t>
      </w:r>
      <w:r>
        <w:rPr>
          <w:rFonts w:ascii="Times New Roman" w:hAnsi="Times New Roman" w:cs="Times New Roman"/>
          <w:sz w:val="28"/>
          <w:highlight w:val="white"/>
          <w:lang w:val="en-US"/>
        </w:rPr>
        <w:t xml:space="preserve">III</w:t>
      </w:r>
      <w:r>
        <w:rPr>
          <w:rFonts w:ascii="Times New Roman" w:hAnsi="Times New Roman" w:cs="Times New Roman"/>
          <w:sz w:val="28"/>
          <w:highlight w:val="white"/>
        </w:rPr>
        <w:t xml:space="preserve"> групп.</w:t>
      </w:r>
      <w:r>
        <w:rPr>
          <w:highlight w:val="white"/>
        </w:rPr>
      </w:r>
      <w:r/>
    </w:p>
    <w:p>
      <w:pPr>
        <w:pStyle w:val="1044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highlight w:val="white"/>
        </w:rPr>
        <w:t xml:space="preserve">2 часть</w:t>
      </w:r>
      <w:r>
        <w:rPr>
          <w:rFonts w:ascii="Times New Roman" w:hAnsi="Times New Roman" w:cs="Times New Roman"/>
          <w:sz w:val="28"/>
          <w:highlight w:val="white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  <w:r>
        <w:rPr>
          <w:highlight w:val="white"/>
        </w:rPr>
      </w:r>
      <w:r/>
    </w:p>
    <w:p>
      <w:pPr>
        <w:pStyle w:val="1044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Указанные средства распределяются среди медицинских организаций </w:t>
      </w:r>
      <w:r>
        <w:rPr>
          <w:rFonts w:ascii="Times New Roman" w:hAnsi="Times New Roman" w:cs="Times New Roman"/>
          <w:sz w:val="28"/>
          <w:highlight w:val="white"/>
        </w:rPr>
        <w:br/>
      </w:r>
      <w:r>
        <w:rPr>
          <w:rFonts w:ascii="Times New Roman" w:hAnsi="Times New Roman" w:cs="Times New Roman"/>
          <w:sz w:val="28"/>
          <w:highlight w:val="white"/>
          <w:lang w:val="en-US"/>
        </w:rPr>
        <w:t xml:space="preserve">III</w:t>
      </w:r>
      <w:r>
        <w:rPr>
          <w:rFonts w:ascii="Times New Roman" w:hAnsi="Times New Roman" w:cs="Times New Roman"/>
          <w:sz w:val="28"/>
          <w:highlight w:val="white"/>
        </w:rPr>
        <w:t xml:space="preserve"> группы с учетом абсолютного количества набранных соответствующими медицинс</w:t>
      </w:r>
      <w:r>
        <w:rPr>
          <w:rFonts w:ascii="Times New Roman" w:hAnsi="Times New Roman" w:cs="Times New Roman"/>
          <w:sz w:val="28"/>
          <w:highlight w:val="white"/>
        </w:rPr>
        <w:t xml:space="preserve">кими организациями баллов.</w:t>
      </w:r>
      <w:r>
        <w:rPr>
          <w:highlight w:val="white"/>
        </w:rPr>
      </w:r>
      <w:r/>
    </w:p>
    <w:p>
      <w:pPr>
        <w:pStyle w:val="1044"/>
        <w:jc w:val="center"/>
        <w:rPr>
          <w:rFonts w:ascii="Times New Roman" w:hAnsi="Times New Roman" w:cs="Times New Roman"/>
          <w:sz w:val="28"/>
          <w:highlight w:val="white"/>
        </w:rPr>
      </w:pPr>
      <w:r>
        <w:rPr>
          <w:highlight w:val="white"/>
        </w:rPr>
      </w:r>
      <m:oMath>
        <m:sSubSup>
          <m:sSubSupPr>
            <m:alnScr m:val="off"/>
            <m:ctrlPr>
              <w:rPr>
                <w:rFonts w:ascii="Cambria Math" w:hAnsi="Cambria Math" w:cs="Cambria Math" w:eastAsia="Cambria Math"/>
                <w:i/>
                <w:sz w:val="28"/>
                <w:highlight w:val="white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ОС</m:t>
            </m:r>
          </m:e>
          <m:sub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РД(балл)</m:t>
            </m:r>
          </m:sub>
          <m:sup>
            <m:r>
              <w:rPr>
                <w:rFonts w:ascii="Cambria Math" w:hAnsi="Cambria Math" w:cs="Times New Roman"/>
                <w:sz w:val="28"/>
                <w:highlight w:val="white"/>
                <w:lang w:val="en-US"/>
              </w:rPr>
              <m:rPr/>
              <m:t>j</m:t>
            </m:r>
          </m:sup>
        </m:sSubSup>
        <m:r>
          <w:rPr>
            <w:rFonts w:ascii="Cambria Math" w:hAnsi="Cambria Math" w:cs="Times New Roman"/>
            <w:sz w:val="28"/>
            <w:highlight w:val="white"/>
          </w:rPr>
          <m:rPr/>
          <m:t>=</m:t>
        </m:r>
        <m:f>
          <m:fPr>
            <m:ctrlPr>
              <w:rPr>
                <w:rFonts w:ascii="Cambria Math" w:hAnsi="Cambria Math" w:cs="Cambria Math" w:eastAsia="Cambria Math"/>
                <w:i/>
                <w:sz w:val="28"/>
                <w:highlight w:val="white"/>
              </w:rPr>
            </m:ctrlPr>
          </m:fPr>
          <m:num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0,3×</m:t>
            </m:r>
            <m:sSubSup>
              <m:sSubSupPr>
                <m:alnScr m:val="off"/>
                <m:ctrlPr>
                  <w:rPr>
                    <w:rFonts w:ascii="Cambria Math" w:hAnsi="Cambria Math" w:cs="Cambria Math" w:eastAsia="Cambria Math"/>
                    <w:i/>
                    <w:sz w:val="28"/>
                    <w:highlight w:val="white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highlight w:val="white"/>
                  </w:rPr>
                  <m:rPr/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highlight w:val="white"/>
                  </w:rPr>
                  <m:rPr/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highlight w:val="white"/>
                    <w:lang w:val="en-US"/>
                  </w:rPr>
                  <m:rPr/>
                  <m:t>j</m:t>
                </m:r>
              </m:sup>
            </m:sSubSup>
          </m:num>
          <m:den>
            <m:nary>
              <m:naryPr>
                <m:chr m:val="∑"/>
                <m:grow m:val="off"/>
                <m:limLoc m:val="undOvr"/>
                <m:subHide m:val="on"/>
                <m:supHide m:val="on"/>
                <m:ctrlPr>
                  <w:rPr>
                    <w:rFonts w:ascii="Cambria Math" w:hAnsi="Cambria Math" w:cs="Cambria Math" w:eastAsia="Cambria Math"/>
                    <w:i/>
                    <w:sz w:val="28"/>
                    <w:highlight w:val="white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  <w:highlight w:val="white"/>
                  </w:rPr>
                  <m:rPr/>
                  <m:t>Балл</m:t>
                </m:r>
              </m:e>
            </m:nary>
          </m:den>
        </m:f>
      </m:oMath>
      <w:r>
        <w:rPr>
          <w:rFonts w:ascii="Times New Roman" w:hAnsi="Times New Roman" w:cs="Times New Roman"/>
          <w:sz w:val="28"/>
          <w:highlight w:val="white"/>
        </w:rPr>
        <w:t xml:space="preserve">, </w:t>
      </w:r>
      <w:r>
        <w:rPr>
          <w:highlight w:val="white"/>
        </w:rPr>
      </w:r>
      <w:r/>
    </w:p>
    <w:p>
      <w:pPr>
        <w:pStyle w:val="1044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где:</w:t>
      </w:r>
      <w:r>
        <w:rPr>
          <w:highlight w:val="white"/>
        </w:rPr>
      </w:r>
      <w:r/>
    </w:p>
    <w:p>
      <w:pPr>
        <w:pStyle w:val="1044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highlight w:val="white"/>
        </w:rPr>
      </w:r>
      <m:oMath>
        <m:sSubSup>
          <m:sSubSupPr>
            <m:alnScr m:val="off"/>
            <m:ctrlPr>
              <w:rPr>
                <w:rFonts w:ascii="Cambria Math" w:hAnsi="Cambria Math" w:cs="Cambria Math" w:eastAsia="Cambria Math"/>
                <w:i/>
                <w:sz w:val="28"/>
                <w:highlight w:val="white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ОС</m:t>
            </m:r>
          </m:e>
          <m:sub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РД(балл)</m:t>
            </m:r>
          </m:sub>
          <m:sup>
            <m:r>
              <w:rPr>
                <w:rFonts w:ascii="Cambria Math" w:hAnsi="Cambria Math" w:cs="Times New Roman"/>
                <w:sz w:val="28"/>
                <w:highlight w:val="white"/>
                <w:lang w:val="en-US"/>
              </w:rPr>
              <m:rPr/>
              <m:t>j</m:t>
            </m:r>
          </m:sup>
        </m:sSubSup>
      </m:oMath>
      <w:r>
        <w:rPr>
          <w:rFonts w:ascii="Times New Roman" w:hAnsi="Times New Roman" w:cs="Times New Roman"/>
          <w:sz w:val="28"/>
          <w:highlight w:val="white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>
        <w:rPr>
          <w:rFonts w:ascii="Times New Roman" w:hAnsi="Times New Roman" w:cs="Times New Roman"/>
          <w:sz w:val="28"/>
          <w:highlight w:val="white"/>
          <w:lang w:val="en-US"/>
        </w:rPr>
        <w:t xml:space="preserve">j</w:t>
      </w:r>
      <w:r>
        <w:rPr>
          <w:rFonts w:ascii="Times New Roman" w:hAnsi="Times New Roman" w:cs="Times New Roman"/>
          <w:sz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highlight w:val="white"/>
        </w:rPr>
        <w:t xml:space="preserve">ый</w:t>
      </w:r>
      <w:r>
        <w:rPr>
          <w:rFonts w:ascii="Times New Roman" w:hAnsi="Times New Roman" w:cs="Times New Roman"/>
          <w:sz w:val="28"/>
          <w:highlight w:val="white"/>
        </w:rPr>
        <w:t xml:space="preserve"> период, в расчете на 1 балл, рублей;</w:t>
      </w:r>
      <w:r>
        <w:rPr>
          <w:highlight w:val="white"/>
        </w:rPr>
      </w:r>
      <w:r/>
    </w:p>
    <w:p>
      <w:pPr>
        <w:pStyle w:val="1044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highlight w:val="white"/>
        </w:rPr>
      </w:r>
      <m:oMath>
        <m:sSubSup>
          <m:sSubSupPr>
            <m:alnScr m:val="off"/>
            <m:ctrlPr>
              <w:rPr>
                <w:rFonts w:ascii="Cambria Math" w:hAnsi="Cambria Math" w:cs="Cambria Math" w:eastAsia="Cambria Math"/>
                <w:i/>
                <w:sz w:val="28"/>
                <w:highlight w:val="white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ОС</m:t>
            </m:r>
          </m:e>
          <m:sub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РД</m:t>
            </m:r>
          </m:sub>
          <m:sup>
            <m:r>
              <w:rPr>
                <w:rFonts w:ascii="Cambria Math" w:hAnsi="Cambria Math" w:cs="Times New Roman"/>
                <w:sz w:val="28"/>
                <w:highlight w:val="white"/>
                <w:lang w:val="en-US"/>
              </w:rPr>
              <m:rPr/>
              <m:t>j</m:t>
            </m:r>
          </m:sup>
        </m:sSubSup>
      </m:oMath>
      <w:r>
        <w:rPr>
          <w:rFonts w:ascii="Times New Roman" w:hAnsi="Times New Roman" w:cs="Times New Roman"/>
          <w:sz w:val="28"/>
          <w:highlight w:val="white"/>
        </w:rPr>
        <w:t xml:space="preserve">       </w:t>
      </w:r>
      <w:r>
        <w:rPr>
          <w:rFonts w:ascii="Times New Roman" w:hAnsi="Times New Roman" w:cs="Times New Roman"/>
          <w:sz w:val="28"/>
          <w:highlight w:val="white"/>
        </w:rPr>
        <w:t xml:space="preserve"> совокупный объем средств на стимулирование медицинских организаций за </w:t>
      </w:r>
      <w:r>
        <w:rPr>
          <w:rFonts w:ascii="Times New Roman" w:hAnsi="Times New Roman" w:cs="Times New Roman"/>
          <w:sz w:val="28"/>
          <w:highlight w:val="white"/>
          <w:lang w:val="en-US"/>
        </w:rPr>
        <w:t xml:space="preserve">j</w:t>
      </w:r>
      <w:r>
        <w:rPr>
          <w:rFonts w:ascii="Times New Roman" w:hAnsi="Times New Roman" w:cs="Times New Roman"/>
          <w:sz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highlight w:val="white"/>
        </w:rPr>
        <w:t xml:space="preserve">ый</w:t>
      </w:r>
      <w:r>
        <w:rPr>
          <w:rFonts w:ascii="Times New Roman" w:hAnsi="Times New Roman" w:cs="Times New Roman"/>
          <w:sz w:val="28"/>
          <w:highlight w:val="white"/>
        </w:rPr>
        <w:t xml:space="preserve"> период, рублей;</w:t>
      </w:r>
      <w:r>
        <w:rPr>
          <w:highlight w:val="white"/>
        </w:rPr>
      </w:r>
      <w:r/>
    </w:p>
    <w:p>
      <w:pPr>
        <w:pStyle w:val="1044"/>
        <w:jc w:val="both"/>
        <w:rPr>
          <w:rFonts w:ascii="Times New Roman" w:hAnsi="Times New Roman" w:cs="Times New Roman" w:eastAsiaTheme="minorEastAsia"/>
          <w:sz w:val="28"/>
          <w:szCs w:val="28"/>
          <w:highlight w:val="white"/>
        </w:rPr>
      </w:pPr>
      <w:r>
        <w:rPr>
          <w:highlight w:val="white"/>
        </w:rPr>
      </w:r>
      <m:oMath>
        <m:nary>
          <m:naryPr>
            <m:chr m:val="∑"/>
            <m:grow m:val="off"/>
            <m:limLoc m:val="undOvr"/>
            <m:subHide m:val="on"/>
            <m:supHide m:val="on"/>
            <m:ctrlPr>
              <w:rPr>
                <w:rFonts w:ascii="Cambria Math" w:hAnsi="Cambria Math" w:cs="Cambria Math" w:eastAsia="Cambria Math"/>
                <w:i/>
                <w:sz w:val="28"/>
                <w:highlight w:val="white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Балл</m:t>
            </m:r>
          </m:e>
        </m:nary>
      </m:oMath>
      <w:r>
        <w:rPr>
          <w:rFonts w:ascii="Times New Roman" w:hAnsi="Times New Roman" w:cs="Times New Roman"/>
          <w:sz w:val="28"/>
          <w:highlight w:val="white"/>
        </w:rPr>
        <w:t xml:space="preserve">       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количество   баллов,   набранных   в   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  <w:lang w:val="en-US"/>
        </w:rPr>
        <w:t xml:space="preserve">j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-м   периоде   всеми медицинскими организациями </w:t>
      </w:r>
      <w:r>
        <w:rPr>
          <w:rFonts w:ascii="Times New Roman" w:hAnsi="Times New Roman" w:cs="Times New Roman"/>
          <w:sz w:val="28"/>
          <w:highlight w:val="white"/>
          <w:lang w:val="en-US"/>
        </w:rPr>
        <w:t xml:space="preserve">III</w:t>
      </w:r>
      <w:r>
        <w:rPr>
          <w:rFonts w:ascii="Times New Roman" w:hAnsi="Times New Roman" w:cs="Times New Roman"/>
          <w:sz w:val="28"/>
          <w:highlight w:val="white"/>
        </w:rPr>
        <w:t xml:space="preserve"> группы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Объем средств, направляемый в </w:t>
      </w:r>
      <w:r>
        <w:rPr>
          <w:rFonts w:ascii="Times New Roman" w:hAnsi="Times New Roman" w:cs="Times New Roman"/>
          <w:sz w:val="28"/>
          <w:highlight w:val="white"/>
          <w:lang w:val="en-US"/>
        </w:rPr>
        <w:t xml:space="preserve">i</w:t>
      </w:r>
      <w:r>
        <w:rPr>
          <w:rFonts w:ascii="Times New Roman" w:hAnsi="Times New Roman" w:cs="Times New Roman"/>
          <w:sz w:val="28"/>
          <w:highlight w:val="white"/>
        </w:rPr>
        <w:t xml:space="preserve">-ю медицинскую организацию </w:t>
      </w:r>
      <w:r>
        <w:rPr>
          <w:rFonts w:ascii="Times New Roman" w:hAnsi="Times New Roman" w:cs="Times New Roman"/>
          <w:sz w:val="28"/>
          <w:highlight w:val="white"/>
        </w:rPr>
        <w:br/>
      </w:r>
      <w:r>
        <w:rPr>
          <w:rFonts w:ascii="Times New Roman" w:hAnsi="Times New Roman" w:cs="Times New Roman"/>
          <w:sz w:val="28"/>
          <w:highlight w:val="white"/>
          <w:lang w:val="en-US"/>
        </w:rPr>
        <w:t xml:space="preserve">III</w:t>
      </w:r>
      <w:r>
        <w:rPr>
          <w:rFonts w:ascii="Times New Roman" w:hAnsi="Times New Roman" w:cs="Times New Roman"/>
          <w:sz w:val="28"/>
          <w:highlight w:val="white"/>
        </w:rPr>
        <w:t xml:space="preserve"> группы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 за 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  <w:lang w:val="en-US"/>
        </w:rPr>
        <w:t xml:space="preserve">j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тый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 период,</w:t>
      </w:r>
      <w:r>
        <w:rPr>
          <w:rFonts w:ascii="Times New Roman" w:hAnsi="Times New Roman" w:cs="Times New Roman"/>
          <w:sz w:val="28"/>
          <w:highlight w:val="white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alnScr m:val="off"/>
            <m:ctrlPr>
              <w:rPr>
                <w:rFonts w:ascii="Cambria Math" w:hAnsi="Cambria Math" w:cs="Cambria Math" w:eastAsia="Cambria Math"/>
                <w:i/>
                <w:sz w:val="32"/>
                <w:szCs w:val="32"/>
                <w:highlight w:val="white"/>
              </w:rPr>
            </m:ctrlPr>
          </m:sSubSupPr>
          <m:e>
            <m:sSub>
              <m:sSubPr>
                <m:ctrlPr>
                  <w:rPr>
                    <w:rFonts w:ascii="Cambria Math" w:hAnsi="Cambria Math" w:cs="Cambria Math" w:eastAsia="Cambria Math"/>
                    <w:i/>
                    <w:sz w:val="32"/>
                    <w:szCs w:val="32"/>
                    <w:highlight w:val="white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  <w:highlight w:val="white"/>
                  </w:rPr>
                  <m:rPr/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  <w:highlight w:val="white"/>
                  </w:rPr>
                  <m:rPr/>
                  <m:t>Р</m:t>
                </m:r>
                <m:r>
                  <w:rPr>
                    <w:rFonts w:ascii="Cambria Math" w:hAnsi="Cambria Math" w:cs="Times New Roman"/>
                    <w:sz w:val="32"/>
                    <w:szCs w:val="32"/>
                    <w:highlight w:val="white"/>
                  </w:rPr>
                  <m:rPr/>
                  <m:t>Д(</m:t>
                </m:r>
                <m:r>
                  <w:rPr>
                    <w:rFonts w:ascii="Cambria Math" w:hAnsi="Cambria Math" w:cs="Times New Roman"/>
                    <w:sz w:val="32"/>
                    <w:szCs w:val="32"/>
                    <w:highlight w:val="white"/>
                  </w:rPr>
                  <m:rPr/>
                  <m:t>балл)</m:t>
                </m:r>
              </m:sub>
            </m:sSub>
          </m:e>
          <m:sub>
            <m:r>
              <w:rPr>
                <w:rFonts w:ascii="Cambria Math" w:hAnsi="Cambria Math" w:cs="Times New Roman"/>
                <w:sz w:val="32"/>
                <w:szCs w:val="32"/>
                <w:highlight w:val="white"/>
              </w:rPr>
              <m:rPr/>
              <m:t>i</m:t>
            </m:r>
          </m:sub>
          <m:sup>
            <m:r>
              <w:rPr>
                <w:rFonts w:ascii="Cambria Math" w:hAnsi="Cambria Math" w:cs="Times New Roman"/>
                <w:sz w:val="32"/>
                <w:szCs w:val="32"/>
                <w:highlight w:val="white"/>
                <w:lang w:val="en-US"/>
              </w:rPr>
              <m:rPr/>
              <m:t>j</m:t>
            </m:r>
          </m:sup>
        </m:sSubSup>
      </m:oMath>
      <w:r>
        <w:rPr>
          <w:rFonts w:ascii="Times New Roman" w:hAnsi="Times New Roman" w:cs="Times New Roman"/>
          <w:sz w:val="28"/>
          <w:highlight w:val="white"/>
        </w:rPr>
        <w:t xml:space="preserve">), рассчитывается следующим образом:</w:t>
      </w:r>
      <w:r>
        <w:rPr>
          <w:highlight w:val="white"/>
        </w:rPr>
      </w:r>
      <w:r/>
    </w:p>
    <w:p>
      <w:pPr>
        <w:contextualSpacing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</w:r>
      <w:r>
        <w:rPr>
          <w:highlight w:val="white"/>
        </w:rPr>
      </w:r>
      <w:r/>
    </w:p>
    <w:p>
      <w:pPr>
        <w:jc w:val="center"/>
        <w:rPr>
          <w:rFonts w:ascii="Times New Roman" w:hAnsi="Times New Roman" w:cs="Times New Roman" w:eastAsiaTheme="minorEastAsia"/>
          <w:sz w:val="28"/>
          <w:highlight w:val="white"/>
        </w:rPr>
      </w:pPr>
      <w:r>
        <w:rPr>
          <w:highlight w:val="white"/>
        </w:rPr>
      </w:r>
      <m:oMath>
        <m:sSubSup>
          <m:sSubSupPr>
            <m:alnScr m:val="off"/>
            <m:ctrlPr>
              <w:rPr>
                <w:rFonts w:ascii="Cambria Math" w:hAnsi="Cambria Math" w:cs="Cambria Math" w:eastAsia="Cambria Math"/>
                <w:i/>
                <w:sz w:val="32"/>
                <w:szCs w:val="32"/>
                <w:highlight w:val="white"/>
              </w:rPr>
            </m:ctrlPr>
          </m:sSubSupPr>
          <m:e>
            <m:sSub>
              <m:sSubPr>
                <m:ctrlPr>
                  <w:rPr>
                    <w:rFonts w:ascii="Cambria Math" w:hAnsi="Cambria Math" w:cs="Cambria Math" w:eastAsia="Cambria Math"/>
                    <w:i/>
                    <w:sz w:val="32"/>
                    <w:szCs w:val="32"/>
                    <w:highlight w:val="white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  <w:highlight w:val="white"/>
                  </w:rPr>
                  <m:rPr/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  <w:highlight w:val="white"/>
                  </w:rPr>
                  <m:rPr/>
                  <m:t>РД(балл)</m:t>
                </m:r>
              </m:sub>
            </m:sSub>
          </m:e>
          <m:sub>
            <m:r>
              <w:rPr>
                <w:rFonts w:ascii="Cambria Math" w:hAnsi="Cambria Math" w:cs="Times New Roman"/>
                <w:sz w:val="32"/>
                <w:szCs w:val="32"/>
                <w:highlight w:val="white"/>
              </w:rPr>
              <m:rPr/>
              <m:t>i</m:t>
            </m:r>
          </m:sub>
          <m:sup>
            <m:r>
              <w:rPr>
                <w:rFonts w:ascii="Cambria Math" w:hAnsi="Cambria Math" w:cs="Times New Roman"/>
                <w:sz w:val="32"/>
                <w:szCs w:val="32"/>
                <w:highlight w:val="white"/>
                <w:lang w:val="en-US"/>
              </w:rPr>
              <m:rPr/>
              <m:t>j</m:t>
            </m:r>
          </m:sup>
        </m:sSubSup>
        <m:r>
          <w:rPr>
            <w:rFonts w:ascii="Cambria Math" w:hAnsi="Cambria Math" w:cs="Times New Roman" w:eastAsiaTheme="minorEastAsia"/>
            <w:sz w:val="32"/>
            <w:szCs w:val="32"/>
            <w:highlight w:val="white"/>
          </w:rPr>
          <m:rPr/>
          <m:t>=</m:t>
        </m:r>
        <m:sSubSup>
          <m:sSubSupPr>
            <m:alnScr m:val="off"/>
            <m:ctrlPr>
              <w:rPr>
                <w:rFonts w:ascii="Cambria Math" w:hAnsi="Cambria Math" w:cs="Cambria Math" w:eastAsia="Cambria Math"/>
                <w:i/>
                <w:sz w:val="28"/>
                <w:highlight w:val="white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ОС</m:t>
            </m:r>
          </m:e>
          <m:sub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РД(балл)</m:t>
            </m:r>
          </m:sub>
          <m:sup>
            <m:r>
              <w:rPr>
                <w:rFonts w:ascii="Cambria Math" w:hAnsi="Cambria Math" w:cs="Times New Roman"/>
                <w:sz w:val="28"/>
                <w:highlight w:val="white"/>
                <w:lang w:val="en-US"/>
              </w:rPr>
              <m:rPr/>
              <m:t>j</m:t>
            </m:r>
          </m:sup>
        </m:sSubSup>
        <m:r>
          <w:rPr>
            <w:rFonts w:ascii="Cambria Math" w:hAnsi="Cambria Math" w:cs="Times New Roman" w:eastAsia="Times New Roman"/>
            <w:sz w:val="28"/>
            <w:highlight w:val="white"/>
          </w:rPr>
          <m:rPr/>
          <m:t>×</m:t>
        </m:r>
        <m:sSubSup>
          <m:sSubSupPr>
            <m:alnScr m:val="off"/>
            <m:ctrlPr>
              <w:rPr>
                <w:rFonts w:ascii="Cambria Math" w:hAnsi="Cambria Math" w:cs="Cambria Math" w:eastAsia="Cambria Math"/>
                <w:i/>
                <w:sz w:val="28"/>
                <w:highlight w:val="white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Балл</m:t>
            </m:r>
          </m:e>
          <m:sub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i</m:t>
            </m:r>
          </m:sub>
          <m:sup>
            <m:r>
              <w:rPr>
                <w:rFonts w:ascii="Cambria Math" w:hAnsi="Cambria Math" w:cs="Times New Roman"/>
                <w:sz w:val="28"/>
                <w:highlight w:val="white"/>
                <w:lang w:val="en-US"/>
              </w:rPr>
              <m:rPr/>
              <m:t>j</m:t>
            </m:r>
          </m:sup>
        </m:sSubSup>
        <m:r>
          <w:rPr>
            <w:rFonts w:ascii="Cambria Math" w:hAnsi="Cambria Math" w:cs="Times New Roman" w:eastAsia="Times New Roman"/>
            <w:sz w:val="28"/>
            <w:highlight w:val="white"/>
          </w:rPr>
          <m:rPr/>
          <m:t>,</m:t>
        </m:r>
      </m:oMath>
      <w:r>
        <w:rPr>
          <w:rFonts w:ascii="Times New Roman" w:hAnsi="Times New Roman" w:cs="Times New Roman" w:eastAsiaTheme="minorEastAsia"/>
          <w:sz w:val="28"/>
          <w:highlight w:val="white"/>
        </w:rPr>
        <w:t xml:space="preserve"> </w:t>
      </w:r>
      <w:r>
        <w:rPr>
          <w:highlight w:val="white"/>
        </w:rPr>
      </w:r>
      <w:r/>
    </w:p>
    <w:p>
      <w:pPr>
        <w:rPr>
          <w:rFonts w:ascii="Times New Roman" w:hAnsi="Times New Roman" w:cs="Times New Roman" w:eastAsiaTheme="minorEastAsia"/>
          <w:sz w:val="28"/>
          <w:highlight w:val="white"/>
        </w:rPr>
      </w:pPr>
      <w:r>
        <w:rPr>
          <w:rFonts w:ascii="Times New Roman" w:hAnsi="Times New Roman" w:cs="Times New Roman" w:eastAsiaTheme="minorEastAsia"/>
          <w:sz w:val="28"/>
          <w:highlight w:val="white"/>
        </w:rPr>
        <w:t xml:space="preserve">где:</w:t>
      </w:r>
      <w:r>
        <w:rPr>
          <w:highlight w:val="white"/>
        </w:rPr>
      </w:r>
      <w:r/>
    </w:p>
    <w:p>
      <w:pPr>
        <w:pStyle w:val="1044"/>
        <w:jc w:val="both"/>
        <w:rPr>
          <w:rFonts w:ascii="Times New Roman" w:hAnsi="Times New Roman" w:cs="Times New Roman" w:eastAsiaTheme="minorEastAsia"/>
          <w:sz w:val="28"/>
          <w:szCs w:val="28"/>
          <w:highlight w:val="white"/>
        </w:rPr>
      </w:pPr>
      <w:r>
        <w:rPr>
          <w:highlight w:val="white"/>
        </w:rPr>
      </w:r>
      <m:oMath>
        <m:sSubSup>
          <m:sSubSupPr>
            <m:alnScr m:val="off"/>
            <m:ctrlPr>
              <w:rPr>
                <w:rFonts w:ascii="Cambria Math" w:hAnsi="Cambria Math" w:cs="Cambria Math" w:eastAsia="Cambria Math"/>
                <w:i/>
                <w:sz w:val="28"/>
                <w:highlight w:val="white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Балл</m:t>
            </m:r>
          </m:e>
          <m:sub>
            <m:r>
              <w:rPr>
                <w:rFonts w:ascii="Cambria Math" w:hAnsi="Cambria Math" w:cs="Times New Roman"/>
                <w:sz w:val="28"/>
                <w:highlight w:val="white"/>
              </w:rPr>
              <m:rPr/>
              <m:t>i</m:t>
            </m:r>
          </m:sub>
          <m:sup>
            <m:r>
              <w:rPr>
                <w:rFonts w:ascii="Cambria Math" w:hAnsi="Cambria Math" w:cs="Times New Roman"/>
                <w:sz w:val="28"/>
                <w:highlight w:val="white"/>
                <w:lang w:val="en-US"/>
              </w:rPr>
              <m:rPr/>
              <m:t>j</m:t>
            </m:r>
          </m:sup>
        </m:sSubSup>
        <m:r>
          <w:rPr>
            <w:rFonts w:ascii="Cambria Math" w:hAnsi="Cambria Math" w:cs="Times New Roman"/>
            <w:sz w:val="28"/>
            <w:highlight w:val="white"/>
          </w:rPr>
          <m:rPr/>
          <m:t>         </m:t>
        </m:r>
      </m:oMath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количество баллов, набранных в 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  <w:lang w:val="en-US"/>
        </w:rPr>
        <w:t xml:space="preserve">j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-м периоде 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  <w:lang w:val="en-US"/>
        </w:rPr>
        <w:t xml:space="preserve">i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-той медицинской организацией </w:t>
      </w:r>
      <w:r>
        <w:rPr>
          <w:rFonts w:ascii="Times New Roman" w:hAnsi="Times New Roman" w:cs="Times New Roman"/>
          <w:sz w:val="28"/>
          <w:highlight w:val="white"/>
          <w:lang w:val="en-US"/>
        </w:rPr>
        <w:t xml:space="preserve">III</w:t>
      </w:r>
      <w:r>
        <w:rPr>
          <w:rFonts w:ascii="Times New Roman" w:hAnsi="Times New Roman" w:cs="Times New Roman"/>
          <w:sz w:val="28"/>
          <w:highlight w:val="white"/>
        </w:rPr>
        <w:t xml:space="preserve"> группы.</w:t>
      </w:r>
      <w:r>
        <w:rPr>
          <w:highlight w:val="white"/>
        </w:rPr>
      </w:r>
      <w:r/>
    </w:p>
    <w:p>
      <w:pPr>
        <w:pStyle w:val="1044"/>
        <w:ind w:firstLine="720"/>
        <w:jc w:val="both"/>
        <w:rPr>
          <w:rFonts w:ascii="Times New Roman" w:hAnsi="Times New Roman" w:cs="Times New Roman" w:eastAsiaTheme="minorEastAsia"/>
          <w:sz w:val="28"/>
          <w:szCs w:val="28"/>
          <w:highlight w:val="white"/>
        </w:rPr>
      </w:pP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Общий объем 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средств, направляемых на оплату медицинской помощи 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br/>
        <w:t xml:space="preserve">с учетом показателей результативности деятельности в медицинскую организацию 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  <w:lang w:val="en-US"/>
        </w:rPr>
        <w:t xml:space="preserve">III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 группы за 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  <w:lang w:val="en-US"/>
        </w:rPr>
        <w:t xml:space="preserve">j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тый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 период определяется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 путем суммирования 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br/>
        <w:t xml:space="preserve">1 и 2 частей, а для медицинских организаций 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  <w:lang w:val="en-US"/>
        </w:rPr>
        <w:t xml:space="preserve">I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 группы за 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  <w:lang w:val="en-US"/>
        </w:rPr>
        <w:t xml:space="preserve">j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тый</w:t>
      </w:r>
      <w:r>
        <w:rPr>
          <w:rFonts w:ascii="Times New Roman" w:hAnsi="Times New Roman" w:cs="Times New Roman" w:eastAsiaTheme="minorEastAsia"/>
          <w:sz w:val="28"/>
          <w:szCs w:val="28"/>
          <w:highlight w:val="white"/>
        </w:rPr>
        <w:t xml:space="preserve"> период  –  равняется нулю.</w:t>
      </w:r>
      <w:r>
        <w:rPr>
          <w:highlight w:val="white"/>
        </w:rPr>
      </w:r>
      <w:r/>
    </w:p>
    <w:p>
      <w:pPr>
        <w:pStyle w:val="1044"/>
        <w:ind w:firstLine="720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Осуществление выплат стимулирующего характера в полном объеме медицинской организации, оказывающей медицинскую помощь </w:t>
      </w:r>
      <w:r>
        <w:rPr>
          <w:rFonts w:ascii="Times New Roman" w:hAnsi="Times New Roman" w:cs="Times New Roman"/>
          <w:sz w:val="28"/>
          <w:highlight w:val="white"/>
        </w:rPr>
        <w:br/>
        <w:t xml:space="preserve">в а</w:t>
      </w:r>
      <w:r>
        <w:rPr>
          <w:rFonts w:ascii="Times New Roman" w:hAnsi="Times New Roman" w:cs="Times New Roman"/>
          <w:sz w:val="28"/>
          <w:highlight w:val="white"/>
        </w:rPr>
        <w:t xml:space="preserve">мбулаторных условиях, по результатам оценки ее деятельности, производится при условии фактического выполнения не менее 90 процентов установленных решением Комиссии по разработке территориальной программы ОМС объемов предоставления медицинской помощи с проф</w:t>
      </w:r>
      <w:r>
        <w:rPr>
          <w:rFonts w:ascii="Times New Roman" w:hAnsi="Times New Roman" w:cs="Times New Roman"/>
          <w:sz w:val="28"/>
          <w:highlight w:val="white"/>
        </w:rPr>
        <w:t xml:space="preserve">илактической и иными целями, а также по поводу заболеваний (посещений и обращений соответственно).</w:t>
      </w:r>
      <w:r>
        <w:rPr>
          <w:highlight w:val="white"/>
        </w:rPr>
      </w:r>
      <w:r/>
    </w:p>
    <w:p>
      <w:pPr>
        <w:pStyle w:val="1044"/>
        <w:ind w:firstLine="720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В случае выполнения медицинской организацией менее 90 процентов указанного объема медицинской помощи, при расчете размера выплат стимулирующего характера при</w:t>
      </w:r>
      <w:r>
        <w:rPr>
          <w:rFonts w:ascii="Times New Roman" w:hAnsi="Times New Roman" w:cs="Times New Roman"/>
          <w:sz w:val="28"/>
          <w:highlight w:val="white"/>
        </w:rPr>
        <w:t xml:space="preserve">меняются понижающие коэффициенты в зависимости от процента выполнения объемов медицинской помощи.</w:t>
      </w:r>
      <w:r>
        <w:rPr>
          <w:highlight w:val="white"/>
        </w:rPr>
      </w:r>
      <w:r/>
    </w:p>
    <w:p>
      <w:pPr>
        <w:pStyle w:val="1044"/>
        <w:ind w:firstLine="720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Размер понижающего коэффициента определяется как отношение фактического объема медицинской помощи к объему в размере 90% от объемов, установленных решением Ко</w:t>
      </w:r>
      <w:r>
        <w:rPr>
          <w:rFonts w:ascii="Times New Roman" w:hAnsi="Times New Roman" w:cs="Times New Roman"/>
          <w:sz w:val="28"/>
          <w:highlight w:val="white"/>
        </w:rPr>
        <w:t xml:space="preserve">миссии по разработке территориальной программы ОМС. </w:t>
      </w:r>
      <w:r>
        <w:rPr>
          <w:rFonts w:ascii="Times New Roman" w:hAnsi="Times New Roman" w:cs="Times New Roman"/>
          <w:sz w:val="28"/>
          <w:highlight w:val="white"/>
        </w:rPr>
        <w:t xml:space="preserve">При расчете понижающего коэффициента учитывается средний процент выполнения объемов предоставления медицинской помощи с профилактической и иными целями, и по поводу заболеваний.</w:t>
      </w:r>
      <w:r>
        <w:rPr>
          <w:highlight w:val="white"/>
        </w:rPr>
      </w:r>
      <w:r/>
    </w:p>
    <w:p>
      <w:pPr>
        <w:pStyle w:val="1044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Размер средств, направляе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мых на выплаты медицинским организациям в случае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достижения целевых значений показателей результативности деятельности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составляет 5% от базового норматива финансирования на прикрепившихся лиц.</w:t>
      </w:r>
      <w:r>
        <w:rPr>
          <w:highlight w:val="white"/>
        </w:rPr>
      </w:r>
      <w:r/>
    </w:p>
    <w:p>
      <w:pPr>
        <w:pStyle w:val="1044"/>
        <w:ind w:firstLine="720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Мониторинг </w:t>
      </w:r>
      <w:r>
        <w:rPr>
          <w:rFonts w:ascii="Times New Roman" w:hAnsi="Times New Roman" w:cs="Times New Roman"/>
          <w:sz w:val="28"/>
          <w:highlight w:val="white"/>
        </w:rPr>
        <w:t xml:space="preserve">достижения значений показателей результативности дея</w:t>
      </w:r>
      <w:r>
        <w:rPr>
          <w:rFonts w:ascii="Times New Roman" w:hAnsi="Times New Roman" w:cs="Times New Roman"/>
          <w:sz w:val="28"/>
          <w:highlight w:val="white"/>
        </w:rPr>
        <w:t xml:space="preserve">тельности</w:t>
      </w:r>
      <w:r>
        <w:rPr>
          <w:rFonts w:ascii="Times New Roman" w:hAnsi="Times New Roman" w:cs="Times New Roman"/>
          <w:sz w:val="28"/>
          <w:highlight w:val="white"/>
        </w:rPr>
        <w:t xml:space="preserve"> по каждой медицинской организации и ранжирование медицинских организаций осуществляется Комиссией по разработке территориальной программы ОМС по итогам работы за 1 квартал, первое полугодие, за период январь-сентябрь текущего года (включительно),</w:t>
      </w:r>
      <w:r>
        <w:rPr>
          <w:rFonts w:ascii="Times New Roman" w:hAnsi="Times New Roman" w:cs="Times New Roman"/>
          <w:sz w:val="28"/>
          <w:highlight w:val="white"/>
        </w:rPr>
        <w:t xml:space="preserve"> за период декабрь предыдущего года - ноябрь текущего года (включительно).</w:t>
      </w:r>
      <w:r>
        <w:rPr>
          <w:highlight w:val="white"/>
        </w:rPr>
      </w:r>
      <w:r/>
    </w:p>
    <w:p>
      <w:pPr>
        <w:pStyle w:val="1044"/>
        <w:ind w:firstLine="567"/>
        <w:jc w:val="both"/>
        <w:spacing w:before="120"/>
        <w:rPr>
          <w:rFonts w:ascii="Times New Roman" w:hAnsi="Times New Roman"/>
          <w:color w:val="000000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ельности осуществляется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по итогам года.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 </w:t>
      </w:r>
      <w:r>
        <w:rPr>
          <w:highlight w:val="white"/>
        </w:rPr>
      </w:r>
      <w:r/>
    </w:p>
    <w:p>
      <w:pPr>
        <w:pStyle w:val="1044"/>
        <w:ind w:firstLine="720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При этом выплаты по итогам года распределяются на основе сведений об оказанной медицинской помощи за период декабрь предыдущего года - ноябрь текущего года (включительно) и включаются в счет за ноябрь.</w:t>
      </w:r>
      <w:r>
        <w:rPr>
          <w:highlight w:val="white"/>
        </w:rPr>
      </w:r>
      <w:r/>
    </w:p>
    <w:p>
      <w:pPr>
        <w:pStyle w:val="1044"/>
        <w:ind w:firstLine="720"/>
        <w:jc w:val="both"/>
        <w:rPr>
          <w:rFonts w:ascii="Times New Roman" w:hAnsi="Times New Roman" w:cs="Times New Roman"/>
          <w:strike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highlight w:val="white"/>
        </w:rPr>
        <w:t xml:space="preserve">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</w:t>
      </w:r>
      <w:r>
        <w:rPr>
          <w:rFonts w:ascii="Times New Roman" w:hAnsi="Times New Roman" w:cs="Times New Roman"/>
          <w:sz w:val="28"/>
          <w:highlight w:val="white"/>
        </w:rPr>
        <w:t xml:space="preserve">с установленной методикой (с учетом численности прикрепленного населения).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3.1.5. Тарифы на оплату единиц объема медицинской помощи (медицинская услуга, посещение, обращение (законченный случай)), мероприятий, по диспансеризации и профилактическим осмотрам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отдельных категорий граждан на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2023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год: 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3.1.5.1. Тарифы на оплату посещений, обращений:</w:t>
      </w:r>
      <w:r>
        <w:rPr>
          <w:highlight w:val="white"/>
        </w:rPr>
      </w:r>
      <w:r/>
    </w:p>
    <w:tbl>
      <w:tblPr>
        <w:tblW w:w="5147" w:type="pct"/>
        <w:tblLook w:val="04A0" w:firstRow="1" w:lastRow="0" w:firstColumn="1" w:lastColumn="0" w:noHBand="0" w:noVBand="1"/>
      </w:tblPr>
      <w:tblGrid>
        <w:gridCol w:w="2816"/>
        <w:gridCol w:w="1219"/>
        <w:gridCol w:w="1290"/>
        <w:gridCol w:w="1300"/>
        <w:gridCol w:w="1219"/>
        <w:gridCol w:w="1290"/>
        <w:gridCol w:w="1300"/>
      </w:tblGrid>
      <w:tr>
        <w:trPr>
          <w:trHeight w:val="518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Специальности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2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и 2 уровень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2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3 уровень (кроме консультативного приема)</w:t>
            </w:r>
            <w:r>
              <w:rPr>
                <w:highlight w:val="white"/>
              </w:rPr>
            </w:r>
            <w:r/>
          </w:p>
        </w:tc>
      </w:tr>
      <w:tr>
        <w:trPr>
          <w:trHeight w:val="134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yellow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Посещение с иными целями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Посещение по неотложной помощи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Обращение по поводу заболевания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Посещение с иными целями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Посещение по неотложной помощи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Обращение по поводу заболевания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gridSpan w:val="7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Взрослая сеть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gridSpan w:val="7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Базовая программа ОМС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Терапия             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199,71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836,46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931,27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199,71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836,46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931,27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Кардиология*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227,40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1 195,71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227,40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1 195,71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Ревматология*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227,40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1 195,71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227,40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1 195,71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Гастроэнтерология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199,71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931,27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199,71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931,27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Аллергология        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378,38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1 667,10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378,38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1 667,10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Неврология          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236,93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1 172,71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236,93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1 172,71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Нефрология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199,71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931,27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199,71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931,27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Гематология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199,71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931,27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199,71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931,27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Гериатрия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199,71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836,46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931,27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199,71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836,46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931,27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Нейрохирургия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212,76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1 080,75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212,76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1 080,75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Инфекционные болезни*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299,83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1 207,21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299,83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1 207,21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Эндокринология*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410,88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1 747,58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410,88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1 747,58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Хирургия            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212,76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1 080,75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212,76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1 080,75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Урология            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172,16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758,81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172,16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758,81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Травматология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212,76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1 080,75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212,76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1 080,75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Акушерство-гинекология      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278,79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1 782,06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278,79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1 782,06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Оториноларингология 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165,81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1 149,72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165,81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1 149,72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Офтальмология       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142,14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908,27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142,14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908,27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Колопроктология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212,76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1 080,75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212,76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1 080,75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Пульмонология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199,71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931,27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199,71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931,27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Дерматология*        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171,56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1 218,70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171,56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1 218,70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Общая врачебная практика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219,68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920,11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1 024,39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219,68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920,11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1 024,39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Онкология*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175,75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819,53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193,32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901,47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Лечебная физкультура*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189,72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189,72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</w:tr>
      <w:tr>
        <w:trPr>
          <w:trHeight w:val="73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Посещение по неотложной медицинской помощи в приемном отделении без последующей госпитализации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717,88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717,88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</w:tr>
      <w:tr>
        <w:trPr>
          <w:trHeight w:val="48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Медицинская помощь в травматологическом пункте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1 358,74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1 358,74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</w:tr>
      <w:tr>
        <w:trPr>
          <w:trHeight w:val="73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Медицинская </w:t>
            </w: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помощь</w:t>
            </w: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  <w:highlight w:val="white"/>
              </w:rPr>
              <w:t xml:space="preserve"> оказанная средним медицинским персоналом, ведущим самостоятельный амбулаторный прием 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159,78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669,17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745,02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159,78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669,17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745,02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0"/>
        </w:trPr>
        <w:tc>
          <w:tcPr>
            <w:gridSpan w:val="7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Сверх базовой программы ОМС 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Психиатрия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843,79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843,79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Наркология*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370,86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370,86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Психотерапия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456,10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456,10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Профпатология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425,43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425,43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Венерология*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447,17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1 158,29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447,17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1 158,29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Фтизиатрия*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686,25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686,25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5"/>
        </w:trPr>
        <w:tc>
          <w:tcPr>
            <w:gridSpan w:val="7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0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*тарифы применяются независимо от возраста пациента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gridSpan w:val="7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Детская сеть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gridSpan w:val="7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Базовая программа ОМС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Педиатрия           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301,19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1 266,09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1 437,16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301,19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1 266,09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1 437,16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Гастроэнтерология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301,19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1 437,16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301,19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1 437,16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Аллергология        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397,29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1 750,45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397,29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1 750,45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Неврология          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248,78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1 231,35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248,78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1 231,35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Гематология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301,19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1 437,16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301,19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1 437,16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Нефрология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301,19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1 437,16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301,19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1 437,16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Хирургия            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223,41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1 134,78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223,41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1 134,78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Травматология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223,41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1 134,78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223,41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1 134,78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Акушерство-гинекология      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292,73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1 871,18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292,73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1 871,18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Оториноларингология 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174,11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1 207,21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174,11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1 207,21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Офтальмология       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149,25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953,68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149,25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953,68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Урология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223,41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1 134,78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223,41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1 134,78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Общая врачебная практика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230,68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969,66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1 075,63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230,68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969,66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1 075,63</w:t>
            </w:r>
            <w:r>
              <w:rPr>
                <w:highlight w:val="white"/>
              </w:rPr>
            </w:r>
            <w:r/>
          </w:p>
        </w:tc>
      </w:tr>
      <w:tr>
        <w:trPr>
          <w:trHeight w:val="77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Медицинская </w:t>
            </w: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помощь</w:t>
            </w: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 оказанная средним медицинским персоналом, ведущим самостоятельный амбулаторный прием 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167,76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702,63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782,27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167,76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702,63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782,27</w:t>
            </w:r>
            <w:r>
              <w:rPr>
                <w:highlight w:val="white"/>
              </w:rPr>
            </w:r>
            <w:r/>
          </w:p>
        </w:tc>
      </w:tr>
      <w:tr>
        <w:trPr>
          <w:trHeight w:val="77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Посещение по неотложной медицинской помощи в приемном отделении без последующей госпитализации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717,88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717,88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gridSpan w:val="7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Сверх базовой программы ОМС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Психиатрия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886,00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84" w:type="pct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886,00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23" w:type="pct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/>
          </w:p>
        </w:tc>
      </w:tr>
    </w:tbl>
    <w:p>
      <w:pPr>
        <w:ind w:firstLine="851"/>
        <w:jc w:val="both"/>
        <w:rPr>
          <w:rFonts w:ascii="Times New Roman" w:hAnsi="Times New Roman" w:cs="Times New Roman" w:eastAsia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highlight w:val="white"/>
        </w:rPr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highlight w:val="white"/>
        </w:rPr>
        <w:t xml:space="preserve">При оказании медицинской помощи мобильными медицинскими бригадами к тарифам применяется повышающий коэффициент 1,2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4"/>
          <w:szCs w:val="24"/>
          <w:highlight w:val="white"/>
        </w:rPr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3.1.5.2. Тариф 1 УЕТ по стоматологии –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108,37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руб.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3.1.5.2.1. Классификатор основных медицинских услуг по оказанию первичной медико-санитарной специализированной стоматологической помощи, оказанной в амбулаторных условиях представлен в приложении № 8 к Тарифному соглашению. </w:t>
      </w:r>
      <w:r>
        <w:rPr>
          <w:highlight w:val="white"/>
        </w:rPr>
      </w:r>
      <w:r/>
    </w:p>
    <w:p>
      <w:pPr>
        <w:ind w:left="-284"/>
        <w:jc w:val="both"/>
        <w:rPr>
          <w:rFonts w:ascii="Times New Roman" w:hAnsi="Times New Roman" w:cs="Times New Roman" w:eastAsia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highlight w:val="white"/>
        </w:rPr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3.1.5.3. Тарифы на отдельные медицинские услуги: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3.1.5.3.1. Тарифы на отдельные медицинские услуги, применяемые при оплате амбулаторной медицинской помощи, в том числе для проведения межучрежденческих расчетов представлены в приложе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нии № 9 к Тарифному соглашению.</w:t>
      </w:r>
      <w:r>
        <w:rPr>
          <w:highlight w:val="white"/>
        </w:rPr>
      </w:r>
      <w:r/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3.1.5.3.2. Тарифы на медицинские услуги, финансирование которых осуществляется в соответствии с нормативами финансовых затрат на единицу объема медицинской помощи, установленными Территориальной программой ОМС из средств, не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входящих в расчет подушевых нормативов представлены в приложении № 10 к Тарифному соглашению. </w:t>
      </w:r>
      <w:r>
        <w:rPr>
          <w:highlight w:val="white"/>
        </w:rPr>
      </w:r>
      <w:r/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3.1.5.3.3. Тарифы на медицинские услуги по проведению диспансеризации определенных гру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пп взр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ослого населения представлены в приложении № 11 к Тарифному соглашени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ю.</w:t>
      </w:r>
      <w:r>
        <w:rPr>
          <w:highlight w:val="white"/>
        </w:rPr>
      </w:r>
      <w:r/>
    </w:p>
    <w:p>
      <w:pPr>
        <w:ind w:right="40"/>
        <w:jc w:val="both"/>
        <w:tabs>
          <w:tab w:val="left" w:pos="1043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           3.1.5.3.4. Тарифы на медицинские услуги по проведению углубленной диспансеризации определенных гру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пп взр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ослого населения гражданам, переболевшим новой коронавирусной инфекцией (COVID-19) представлены в приложении № 12 к Тарифному соглашению:</w:t>
      </w:r>
      <w:r>
        <w:rPr>
          <w:highlight w:val="white"/>
        </w:rPr>
      </w:r>
      <w:r/>
    </w:p>
    <w:p>
      <w:pPr>
        <w:ind w:right="40"/>
        <w:jc w:val="both"/>
        <w:tabs>
          <w:tab w:val="left" w:pos="1043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           3.1.5.3.5. Тарифы на  медицинские услуги по проведению диспансеризации пребывающих в стационарных учреждениях детей-сирот и детей, находящихся в трудной жизненной ситуации представлены в приложении № 13 к Тарифному соглашению.</w:t>
      </w:r>
      <w:r>
        <w:rPr>
          <w:highlight w:val="white"/>
        </w:rPr>
      </w:r>
      <w:r/>
    </w:p>
    <w:p>
      <w:pPr>
        <w:ind w:right="40"/>
        <w:jc w:val="both"/>
        <w:tabs>
          <w:tab w:val="left" w:pos="1043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  <w:t xml:space="preserve">3.1.5.3.6. Тари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фы на медицинские услуги  по проведению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представлены в приложении № 14 к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Тарифному соглашению.</w:t>
      </w:r>
      <w:r>
        <w:rPr>
          <w:highlight w:val="white"/>
        </w:rPr>
      </w:r>
      <w:r/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3.1.5.3.7. Тарифы на медицинские услуги по проведению профилактических медицинских осмотров несовершеннолетним представлены в приложении № 15 к Тарифному соглашению.</w:t>
      </w:r>
      <w:r>
        <w:rPr>
          <w:highlight w:val="white"/>
        </w:rPr>
      </w:r>
      <w:r/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3.1.5.3.8. Тарифы на  медицинские услуги по проведению профилактичес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ких медицинских осмотров взрослому населению представлены в приложении № 16 к Тарифному соглашению.</w:t>
      </w:r>
      <w:r>
        <w:rPr>
          <w:highlight w:val="white"/>
        </w:rPr>
      </w:r>
      <w:r/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3.1.5.3.9. Тарифы на 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медицинские услуги, оказываемые в центрах здоровья представлены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 приложении № 17 к Тарифному соглашению.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3.1.6. Базовые нормативы фин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ансовых затрат на финансовое обеспечение структурных подразделений медицинских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организаций на 2023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год:</w:t>
      </w:r>
      <w:r>
        <w:rPr>
          <w:highlight w:val="white"/>
        </w:rPr>
      </w:r>
      <w:r/>
    </w:p>
    <w:p>
      <w:pPr>
        <w:ind w:firstLine="540"/>
        <w:jc w:val="both"/>
        <w:widowControl w:val="off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фельдшерский, фельдшерско-акушерский пункт, обслуживающий от 100 до 900 жителей, -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1 174,2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тыс. рублей,</w:t>
      </w:r>
      <w:r>
        <w:rPr>
          <w:highlight w:val="white"/>
        </w:rPr>
      </w:r>
      <w:r/>
    </w:p>
    <w:p>
      <w:pPr>
        <w:ind w:firstLine="540"/>
        <w:jc w:val="both"/>
        <w:widowControl w:val="off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фельдшерский, фельдшерско-акушерский пункт, обслуживающий от 900 до 1500 жителей, -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1 860,3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тыс. рублей,</w:t>
      </w:r>
      <w:r>
        <w:rPr>
          <w:highlight w:val="white"/>
        </w:rPr>
      </w:r>
      <w:r/>
    </w:p>
    <w:p>
      <w:pPr>
        <w:ind w:firstLine="540"/>
        <w:jc w:val="both"/>
        <w:widowControl w:val="off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фельдшерский, фельдшерско-акушерский пункт, обслуживающий от 1500 до 2000 жителей, -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2 088,9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тыс. рублей.</w:t>
      </w:r>
      <w:r>
        <w:rPr>
          <w:highlight w:val="white"/>
        </w:rPr>
        <w:t xml:space="preserve"> </w:t>
      </w:r>
      <w:r>
        <w:rPr>
          <w:highlight w:val="white"/>
        </w:rPr>
      </w:r>
      <w:r/>
    </w:p>
    <w:p>
      <w:pPr>
        <w:ind w:firstLine="540"/>
        <w:jc w:val="both"/>
        <w:widowControl w:val="off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Размер финансового обеспечения фельдшерских,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фельдшерско-акушерских пунктов обслуживающий до 100 жителей, согласно Методическим рекомендациям по способам оплаты, рассчитан с применением коэффициента уровня 0,21 к размеру финансового обеспечения фельдшерского, фельдшерско-акушерского пункта, обслужив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ающего от 100 до 900 жителей и составил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246,6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тыс. рублей.</w:t>
      </w:r>
      <w:r>
        <w:rPr>
          <w:highlight w:val="white"/>
        </w:rPr>
      </w:r>
      <w:r/>
    </w:p>
    <w:p>
      <w:pPr>
        <w:ind w:firstLine="540"/>
        <w:jc w:val="both"/>
        <w:widowControl w:val="off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Финансирование фельдшерских, фельдшерско-акушерских пунктов, обслуживающих от 2000 и более жителей осуществляется по финансовому нормативу, установленному для фельдшерских, фельдшерско-акушерских п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унктов, обслуживающих от 1500 до 2000 жителей, -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2 088,9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тыс. рублей, коэффициент уровня равен 1,0.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Коэффициент специфики оказания медицинской помощи, применяемый к базовому нормативу финансовых затрат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br/>
        <w:t xml:space="preserve">на финансовое обеспечение структурных подразделений ме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дицинской организации, учитывающий критерий соответствия их требованиям, установленным Приказом № 543н равен 1,00.</w:t>
      </w:r>
      <w:r>
        <w:rPr>
          <w:highlight w:val="white"/>
        </w:rPr>
      </w:r>
      <w:r/>
    </w:p>
    <w:p>
      <w:pPr>
        <w:ind w:firstLine="851"/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851"/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3.2. Тарифы на оплату медицинской помощи, оказанной в круглосуточных стационарах </w:t>
      </w:r>
      <w:r>
        <w:rPr>
          <w:highlight w:val="white"/>
        </w:rPr>
      </w:r>
      <w:r/>
    </w:p>
    <w:p>
      <w:pPr>
        <w:ind w:firstLine="851"/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56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3.2.1.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Средний размер финансового обеспечения стационарной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 Липецкой области, в расчете на одно застрахованное ли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цо, определенный на основе нормативов объемов медицинской помощи и финансовых затрат на единицу объема медицинской помощи в круглосуточных стационарах, установленных Территориальной программой обязательного медицинского страхования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на 2023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год составляет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6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377,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84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руб.</w:t>
      </w:r>
      <w:r>
        <w:rPr>
          <w:highlight w:val="white"/>
        </w:rPr>
      </w:r>
      <w:r/>
    </w:p>
    <w:p>
      <w:pPr>
        <w:ind w:firstLine="56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56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3.2.2. Перечень клинико-статистических групп заболеваний, с указанием коэффициентов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относительной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затратоемкости КСГ представлен в приложении № 18 к Тарифному соглашению.</w:t>
      </w:r>
      <w:r>
        <w:rPr>
          <w:highlight w:val="white"/>
        </w:rPr>
      </w:r>
      <w:r/>
    </w:p>
    <w:p>
      <w:pPr>
        <w:ind w:firstLine="56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3.2.3. Размер средней стоимости законченного случая лечения, включенного в КСГ (базовая ставка по круглосуточным стационарам):</w:t>
      </w:r>
      <w:r>
        <w:rPr>
          <w:highlight w:val="white"/>
        </w:rPr>
      </w:r>
      <w:r/>
    </w:p>
    <w:p>
      <w:pPr>
        <w:ind w:firstLine="56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На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2023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год размер средней стоимости законченного случая лечения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 круглосуточному стационару установлен в сумме </w:t>
      </w:r>
      <w:r>
        <w:rPr>
          <w:rFonts w:ascii="Times New Roman" w:hAnsi="Times New Roman" w:cs="Times New Roman" w:eastAsia="Times New Roman"/>
          <w:sz w:val="27"/>
          <w:szCs w:val="27"/>
          <w:highlight w:val="white"/>
        </w:rPr>
        <w:t xml:space="preserve">25 986,79 руб.</w:t>
      </w:r>
      <w:r>
        <w:rPr>
          <w:highlight w:val="white"/>
        </w:rPr>
      </w:r>
      <w:r/>
    </w:p>
    <w:p>
      <w:pPr>
        <w:ind w:firstLine="56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/>
    </w:p>
    <w:p>
      <w:pPr>
        <w:ind w:firstLine="56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3.2.4. Поправочные коэффициенты оплаты КСГ.</w:t>
      </w:r>
      <w:r>
        <w:rPr>
          <w:highlight w:val="white"/>
        </w:rPr>
      </w:r>
      <w:r/>
    </w:p>
    <w:p>
      <w:pPr>
        <w:ind w:firstLine="56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3.2.4.1. Коэффициенты уровня (подуровня) оказания медицинской помощи в круглосуточных стационарах (КУС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vertAlign w:val="subscript"/>
        </w:rPr>
        <w:t xml:space="preserve">МО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):</w:t>
      </w:r>
      <w:r>
        <w:rPr>
          <w:highlight w:val="white"/>
        </w:rPr>
      </w:r>
      <w:r/>
    </w:p>
    <w:p>
      <w:pPr>
        <w:ind w:firstLine="56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tbl>
      <w:tblPr>
        <w:tblStyle w:val="1020"/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5103"/>
      </w:tblGrid>
      <w:tr>
        <w:trPr/>
        <w:tc>
          <w:tcPr>
            <w:tcW w:w="47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Уровень/Подуровень оказания медицинской помощи</w:t>
            </w:r>
            <w:r>
              <w:rPr>
                <w:highlight w:val="white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Коэффициент уровня/подуровня оказания медицинской помощи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478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 уровень</w:t>
            </w:r>
            <w:r>
              <w:rPr>
                <w:highlight w:val="white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0,9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gridSpan w:val="2"/>
            <w:tcW w:w="988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 уровень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478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Подуровень 2.1.</w:t>
            </w:r>
            <w:r>
              <w:rPr>
                <w:highlight w:val="white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0,91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478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Подуровень 2.2.</w:t>
            </w:r>
            <w:r>
              <w:rPr>
                <w:highlight w:val="white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0,94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478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Подуровень 2.3.</w:t>
            </w:r>
            <w:r>
              <w:rPr>
                <w:highlight w:val="white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0,96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gridSpan w:val="2"/>
            <w:tcW w:w="988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 уровень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478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Подуровень 3.1.</w:t>
            </w:r>
            <w:r>
              <w:rPr>
                <w:highlight w:val="white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1,10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478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Подуровень 3.2.</w:t>
            </w:r>
            <w:r>
              <w:rPr>
                <w:highlight w:val="white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1,31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Перечень КСГ, при оплате по которым не применяется коэффициент уровня (подуровня) медицинской организации</w:t>
      </w:r>
      <w:r>
        <w:rPr>
          <w:highlight w:val="white"/>
        </w:rPr>
      </w:r>
      <w:r/>
    </w:p>
    <w:tbl>
      <w:tblPr>
        <w:tblW w:w="5000" w:type="pct"/>
        <w:tblLook w:val="04A0" w:firstRow="1" w:lastRow="0" w:firstColumn="1" w:lastColumn="0" w:noHBand="0" w:noVBand="1"/>
      </w:tblPr>
      <w:tblGrid>
        <w:gridCol w:w="1074"/>
        <w:gridCol w:w="9062"/>
      </w:tblGrid>
      <w:tr>
        <w:trPr>
          <w:trHeight w:val="31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  <w:lang w:val="en-US"/>
              </w:rPr>
              <w:t xml:space="preserve">№ КСГ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  <w:lang w:val="en-US"/>
              </w:rPr>
              <w:t xml:space="preserve">Наименование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  <w:lang w:val="en-US"/>
              </w:rPr>
              <w:t xml:space="preserve"> КСГ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st01.001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Беременность без патологии, дородовая госпитализация в отделение сестринского ухода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st02.002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Беременность, закончившаяся абортивным исходом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st02.006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Послеродовой сепсис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st02.012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женских половых органах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st03.002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Ангионевротический отек, анафилактический шок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st04.001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Язва желудка и двенадцатиперстной кишки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st09.003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мужских половых органах, дети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st09.004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мужских половых органах, дети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st09.008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почке и мочевыделительной системе, дети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st09.009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почке и мочевыделительной системе, дети (уровень 5)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st09.010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почке и мочевыделительной системе, дети (уровень 6)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st10.003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Аппендэктомия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, дети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st10.005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по поводу грыж, дети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st14.001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кишечнике и анальной области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st15.005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Эпилепсия, судороги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st15.008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Неврологические заболевания, лечение с применением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ботулотоксина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st15.009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Неврологические заболевания, лечение с применением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ботулотоксина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st16.003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Дорсопатии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спондилопатии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остеопатии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st16.005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Сотрясение головного мозга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st16.010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периферической нервной системе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st16.011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перифер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ической нервной системе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st20.008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органе слуха, придаточных пазухах носа и верхних дыхательных путях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st20.009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органе слуха, придаточных пазухах носа и верхних дыхательных путях (уровень 5)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st20.010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Замена р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ечевого процессора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st21.004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органе зрения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st21.006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органе зрения (уровень 6)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st21.009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органе зрения 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факоэмульсификация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с имплантацией ИОЛ)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st27.001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Болезни пищевода, гастрит, дуоденит, другие болезни желудка и двенадцатиперстной кишки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st27.003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Болезни желчного пузыря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st27.005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Гипертоническая болезнь в стадии обострения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st27.006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Стенокардия (кроме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нестабильной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), хроническая ишемическая болезнь сердц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а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st27.010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Бронхит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необструктивный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, симптомы и признаки, относящиеся к органам дыхания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st28.004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нижних дыхательных путях и легочной ткани, органах средостения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st28.005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нижних дыхательных путях и легочной ткани, органах средостения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st29.002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Переломы шейки бедра и костей таза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st29.003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Переломы бедренной кости, другие травмы области бедра и тазобедренного сустава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st29.004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Переломы, вывихи, растяже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ния области грудной клетки, верхней конечности и стопы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st29.005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Переломы, вывихи, растяжения области колена и голени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st29.012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костно-мышечной системе и суставах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st29.013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костно-мышечной системе и суставах (уровень 5)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st30.004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Болезни предстательной железы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st30.008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мужских половых органах, взрослые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st30.009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мужских половых органах, взрослые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st30.015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почке и мочевыделительной системе, взрослые (уровень 6)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t31.002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коже, подкожной клетчатке, придатках кожи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st31.009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эндокринных железах кроме гипофиза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st31.010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эндокринных железах кроме гипофиза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st31.012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Артрозы, другие поражения суставов, болезни мягких тканей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st31.018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Открытые раны, поверхностные, другие и неуточненные травмы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st32.004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желчном пузыре и желчевыводящих путях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st32.010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пищеводе, желудке, двенадцатиперстной кишке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st32.011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Аппендэктомия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, взрослые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st32.012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Аппендэктомия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, взрослые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st32.013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по поводу грыж, взрослые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st32.014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по поводу грыж, взрос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лые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st32.015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по поводу грыж, взрослые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st36.001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Комплексное лечение с применением препаратов иммуноглобулина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st36.007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Установка, замена, заправка помп для лекарственных препаратов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st36.009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Реинфузия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аутокрови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st36.010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Баллонная внутриаортальная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контрпульсация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st36.011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Экстракорпоральная мембранная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оксигенация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st36.024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Радиойодтерапия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st36.027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(инициация)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st36.028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st36.029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st36.030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st36.031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st36.032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Лечение с применен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ием генно-инженерных биологических препаратов и селективных иммунодепрессантов (уровень 5)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st36.033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6)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st36.034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7)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st36.035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8)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st36.036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Лечение с применен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ием генно-инженерных биологических препаратов и селективных иммунодепрессантов (уровень 9)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st36.037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10)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st36.038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Лечение с применением генно-инженер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ных биологических препаратов и селективных иммунодепрессантов (уровень 11)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st36.039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st36.040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st36.041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st36.042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Лечение с примен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ением генно-инженерных биологических препаратов и селективных иммунодепрессантов (уровень 15)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st36.043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16)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st36.044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Лечение с применением генно-инже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нерных биологических препаратов и селективных иммунодепрессантов (уровень 17)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st36.045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18)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st36.046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19)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st36.047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20)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st37.004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Медицинская реаб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илитация пациентов с заболеваниями центральной нервной системы (6 баллов по ШРМ)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st37.024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Продолжительная медицинская реабилитация пациентов с заболеваниями центральной нервной системы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st37.025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Продолжительная медицинская реабилитация пациентов с заболев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аниями опорно-двигательного аппарата и периферической нервной системы</w:t>
            </w:r>
            <w:r>
              <w:rPr>
                <w:highlight w:val="white"/>
              </w:rPr>
            </w:r>
            <w:r/>
          </w:p>
        </w:tc>
      </w:tr>
      <w:tr>
        <w:trPr>
          <w:trHeight w:val="6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st37.026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70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Продолжительная медицинская реабилитация пациентов с заболеваниями центральной нервной системы и с заболеваниями опо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рно-двигательного аппарата и периферической нервной системы (сестринский уход)</w:t>
            </w:r>
            <w:r>
              <w:rPr>
                <w:highlight w:val="white"/>
              </w:rPr>
            </w:r>
            <w:r/>
          </w:p>
        </w:tc>
      </w:tr>
    </w:tbl>
    <w:p>
      <w:pPr>
        <w:ind w:firstLine="56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56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3.2.4.2. Коэффициенты сложности лечения пациента (КСЛП):</w:t>
      </w:r>
      <w:r>
        <w:rPr>
          <w:highlight w:val="white"/>
        </w:rPr>
      </w:r>
      <w:r/>
    </w:p>
    <w:tbl>
      <w:tblPr>
        <w:tblStyle w:val="1047"/>
        <w:tblW w:w="0" w:type="auto"/>
        <w:tblLook w:val="04A0" w:firstRow="1" w:lastRow="0" w:firstColumn="1" w:lastColumn="0" w:noHBand="0" w:noVBand="1"/>
      </w:tblPr>
      <w:tblGrid>
        <w:gridCol w:w="566"/>
        <w:gridCol w:w="7622"/>
        <w:gridCol w:w="1843"/>
      </w:tblGrid>
      <w:tr>
        <w:trPr>
          <w:trHeight w:val="679"/>
          <w:tblHeader/>
        </w:trPr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highlight w:val="white"/>
              </w:rPr>
              <w:t xml:space="preserve">№</w:t>
            </w:r>
            <w:r>
              <w:rPr>
                <w:highlight w:val="white"/>
              </w:rPr>
            </w:r>
            <w:r/>
          </w:p>
        </w:tc>
        <w:tc>
          <w:tcPr>
            <w:tcW w:w="7622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highlight w:val="white"/>
              </w:rPr>
              <w:t xml:space="preserve">Случаи, для которых 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highlight w:val="white"/>
              </w:rPr>
              <w:t xml:space="preserve">установлен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highlight w:val="white"/>
              </w:rPr>
              <w:t xml:space="preserve"> КСЛП</w:t>
            </w:r>
            <w:r>
              <w:rPr>
                <w:highlight w:val="whit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highlight w:val="white"/>
              </w:rPr>
              <w:t xml:space="preserve">Значение КСЛП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tcW w:w="7622" w:type="dxa"/>
            <w:textDirection w:val="lrTb"/>
            <w:noWrap w:val="false"/>
          </w:tcPr>
          <w:p>
            <w:pPr>
              <w:jc w:val="left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показаний), за исключением случаев, к которым применяется КСЛП, предусмотренный пунктом 2 настоящего перечня</w:t>
            </w:r>
            <w:r>
              <w:rPr>
                <w:highlight w:val="whit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0,2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2</w:t>
            </w:r>
            <w:r>
              <w:rPr>
                <w:highlight w:val="white"/>
              </w:rPr>
            </w:r>
            <w:r/>
          </w:p>
        </w:tc>
        <w:tc>
          <w:tcPr>
            <w:tcW w:w="7622" w:type="dxa"/>
            <w:textDirection w:val="lrTb"/>
            <w:noWrap w:val="false"/>
          </w:tcPr>
          <w:p>
            <w:pPr>
              <w:jc w:val="left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показаний), получающих медицинскую помощь по профилю «Детская онкология» и (или) «Гематология»</w:t>
            </w:r>
            <w:r>
              <w:rPr>
                <w:highlight w:val="whit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0,6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3</w:t>
            </w:r>
            <w:r>
              <w:rPr>
                <w:highlight w:val="white"/>
              </w:rPr>
            </w:r>
            <w:r/>
          </w:p>
        </w:tc>
        <w:tc>
          <w:tcPr>
            <w:tcW w:w="7622" w:type="dxa"/>
            <w:textDirection w:val="lrTb"/>
            <w:noWrap w:val="false"/>
          </w:tcPr>
          <w:p>
            <w:pPr>
              <w:jc w:val="left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оказание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 медицинской помощи пациенту в возрасте старше 75 лет в случае проведения консультации врача-гериатра и за исключением случаев госпитализации на геронтологические профильные койки</w:t>
            </w:r>
            <w:r>
              <w:rPr>
                <w:highlight w:val="whit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0,2</w:t>
            </w:r>
            <w:r>
              <w:rPr>
                <w:highlight w:val="white"/>
              </w:rPr>
            </w:r>
            <w:r/>
          </w:p>
        </w:tc>
      </w:tr>
      <w:tr>
        <w:trPr>
          <w:trHeight w:val="469"/>
        </w:trPr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4</w:t>
            </w:r>
            <w:r>
              <w:rPr>
                <w:highlight w:val="white"/>
              </w:rPr>
            </w:r>
            <w:r/>
          </w:p>
        </w:tc>
        <w:tc>
          <w:tcPr>
            <w:tcW w:w="7622" w:type="dxa"/>
            <w:vAlign w:val="center"/>
            <w:textDirection w:val="lrTb"/>
            <w:noWrap w:val="false"/>
          </w:tcPr>
          <w:p>
            <w:pPr>
              <w:jc w:val="left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развертывание индивидуального поста</w:t>
            </w:r>
            <w:r>
              <w:rPr>
                <w:highlight w:val="whit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0,2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5</w:t>
            </w:r>
            <w:r>
              <w:rPr>
                <w:highlight w:val="white"/>
              </w:rPr>
            </w:r>
            <w:r/>
          </w:p>
        </w:tc>
        <w:tc>
          <w:tcPr>
            <w:tcW w:w="7622" w:type="dxa"/>
            <w:textDirection w:val="lrTb"/>
            <w:noWrap w:val="false"/>
          </w:tcPr>
          <w:p>
            <w:pPr>
              <w:jc w:val="left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наличие у пациента тяжелой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 сопутствующей патологии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, требующей оказания медицинской помощи в период госпитализации</w:t>
            </w:r>
            <w:r>
              <w:rPr>
                <w:highlight w:val="whit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0,6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6</w:t>
            </w:r>
            <w:r>
              <w:rPr>
                <w:highlight w:val="white"/>
              </w:rPr>
            </w:r>
            <w:r/>
          </w:p>
        </w:tc>
        <w:tc>
          <w:tcPr>
            <w:tcW w:w="7622" w:type="dxa"/>
            <w:textDirection w:val="lrTb"/>
            <w:noWrap w:val="false"/>
          </w:tcPr>
          <w:p>
            <w:pPr>
              <w:jc w:val="left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проведение сочетанных хирургических вмешательств или проведение однотипных операций на парных органах (уровень 1)</w:t>
            </w:r>
            <w:r>
              <w:rPr>
                <w:rFonts w:ascii="Times New Roman" w:hAnsi="Times New Roman"/>
                <w:color w:val="000000" w:themeColor="text1"/>
                <w:sz w:val="24"/>
                <w:highlight w:val="white"/>
                <w:vertAlign w:val="superscript"/>
              </w:rPr>
              <w:t xml:space="preserve"> 2</w:t>
            </w:r>
            <w:r>
              <w:rPr>
                <w:highlight w:val="whit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0,05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7</w:t>
            </w:r>
            <w:r>
              <w:rPr>
                <w:highlight w:val="white"/>
              </w:rPr>
            </w:r>
            <w:r/>
          </w:p>
        </w:tc>
        <w:tc>
          <w:tcPr>
            <w:tcW w:w="7622" w:type="dxa"/>
            <w:textDirection w:val="lrTb"/>
            <w:noWrap w:val="false"/>
          </w:tcPr>
          <w:p>
            <w:pPr>
              <w:jc w:val="left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проведение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 сочетанных хирургических вмешательств или проведение однотипных операций на парных органах (уровень 2)</w:t>
            </w:r>
            <w:r>
              <w:rPr>
                <w:rFonts w:ascii="Times New Roman" w:hAnsi="Times New Roman"/>
                <w:color w:val="000000" w:themeColor="text1"/>
                <w:sz w:val="24"/>
                <w:highlight w:val="white"/>
                <w:vertAlign w:val="superscript"/>
              </w:rPr>
              <w:t xml:space="preserve"> 2</w:t>
            </w:r>
            <w:r>
              <w:rPr>
                <w:highlight w:val="whit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0,47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8</w:t>
            </w:r>
            <w:r>
              <w:rPr>
                <w:highlight w:val="white"/>
              </w:rPr>
            </w:r>
            <w:r/>
          </w:p>
        </w:tc>
        <w:tc>
          <w:tcPr>
            <w:tcW w:w="7622" w:type="dxa"/>
            <w:textDirection w:val="lrTb"/>
            <w:noWrap w:val="false"/>
          </w:tcPr>
          <w:p>
            <w:pPr>
              <w:jc w:val="left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проведение сочетанных хирургических вмешательств или проведение однотипных операций на парных органах (уровень 3)</w:t>
            </w:r>
            <w:r>
              <w:rPr>
                <w:rFonts w:ascii="Times New Roman" w:hAnsi="Times New Roman"/>
                <w:color w:val="000000" w:themeColor="text1"/>
                <w:sz w:val="24"/>
                <w:highlight w:val="white"/>
                <w:vertAlign w:val="superscript"/>
              </w:rPr>
              <w:t xml:space="preserve"> 2</w:t>
            </w:r>
            <w:r>
              <w:rPr>
                <w:highlight w:val="whit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1,16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9</w:t>
            </w:r>
            <w:r>
              <w:rPr>
                <w:highlight w:val="white"/>
              </w:rPr>
            </w:r>
            <w:r/>
          </w:p>
        </w:tc>
        <w:tc>
          <w:tcPr>
            <w:tcW w:w="7622" w:type="dxa"/>
            <w:textDirection w:val="lrTb"/>
            <w:noWrap w:val="false"/>
          </w:tcPr>
          <w:p>
            <w:pPr>
              <w:jc w:val="left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проведение сочетан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ных хирургических вмешательств или проведение однотипных операций на парных органах (уровень 4)</w:t>
            </w:r>
            <w:r>
              <w:rPr>
                <w:rFonts w:ascii="Times New Roman" w:hAnsi="Times New Roman"/>
                <w:color w:val="000000" w:themeColor="text1"/>
                <w:sz w:val="24"/>
                <w:highlight w:val="white"/>
                <w:vertAlign w:val="superscript"/>
              </w:rPr>
              <w:t xml:space="preserve"> 2</w:t>
            </w:r>
            <w:r>
              <w:rPr>
                <w:highlight w:val="whit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2,07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10</w:t>
            </w:r>
            <w:r>
              <w:rPr>
                <w:highlight w:val="white"/>
              </w:rPr>
            </w:r>
            <w:r/>
          </w:p>
        </w:tc>
        <w:tc>
          <w:tcPr>
            <w:tcW w:w="7622" w:type="dxa"/>
            <w:textDirection w:val="lrTb"/>
            <w:noWrap w:val="false"/>
          </w:tcPr>
          <w:p>
            <w:pPr>
              <w:jc w:val="left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проведение сочетанных хирургических вмешательств или проведение однотипных операций на парных органах (уровень 5)</w:t>
            </w:r>
            <w:r>
              <w:rPr>
                <w:rFonts w:ascii="Times New Roman" w:hAnsi="Times New Roman"/>
                <w:color w:val="000000" w:themeColor="text1"/>
                <w:sz w:val="24"/>
                <w:highlight w:val="white"/>
                <w:vertAlign w:val="superscript"/>
              </w:rPr>
              <w:t xml:space="preserve"> 2</w:t>
            </w:r>
            <w:r>
              <w:rPr>
                <w:highlight w:val="whit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3,49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highlight w:val="white"/>
              </w:rPr>
              <w:t xml:space="preserve">11</w:t>
            </w:r>
            <w:r>
              <w:rPr>
                <w:highlight w:val="white"/>
              </w:rPr>
            </w:r>
            <w:r/>
          </w:p>
        </w:tc>
        <w:tc>
          <w:tcPr>
            <w:tcW w:w="7622" w:type="dxa"/>
            <w:textDirection w:val="lrTb"/>
            <w:noWrap w:val="false"/>
          </w:tcPr>
          <w:p>
            <w:pPr>
              <w:jc w:val="left"/>
              <w:widowControl w:val="off"/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highlight w:val="white"/>
              </w:rPr>
              <w:t xml:space="preserve">проведение 1 этапа медицинской реабилитации пациентов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highlight w:val="white"/>
                <w:vertAlign w:val="superscript"/>
              </w:rPr>
              <w:t xml:space="preserve">3</w:t>
            </w:r>
            <w:r>
              <w:rPr>
                <w:highlight w:val="whit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highlight w:val="white"/>
              </w:rPr>
              <w:t xml:space="preserve">0,15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highlight w:val="white"/>
              </w:rPr>
              <w:t xml:space="preserve">12</w:t>
            </w:r>
            <w:r>
              <w:rPr>
                <w:highlight w:val="white"/>
              </w:rPr>
            </w:r>
            <w:r/>
          </w:p>
        </w:tc>
        <w:tc>
          <w:tcPr>
            <w:tcW w:w="7622" w:type="dxa"/>
            <w:textDirection w:val="lrTb"/>
            <w:noWrap w:val="false"/>
          </w:tcPr>
          <w:p>
            <w:pPr>
              <w:jc w:val="left"/>
              <w:widowControl w:val="off"/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highlight w:val="white"/>
              </w:rPr>
              <w:t xml:space="preserve">проведение сопроводительной лекарственной терапии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highlight w:val="white"/>
              </w:rPr>
              <w:t xml:space="preserve">при злокачественных новообразованиях у взрослых в стационарных условиях в соответствии с клиническими рекомендациями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highlight w:val="white"/>
              </w:rPr>
              <w:t xml:space="preserve">*</w:t>
            </w:r>
            <w:r>
              <w:rPr>
                <w:highlight w:val="whit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highlight w:val="white"/>
              </w:rPr>
              <w:t xml:space="preserve">0,63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highlight w:val="white"/>
              </w:rPr>
              <w:t xml:space="preserve">14</w:t>
            </w:r>
            <w:r>
              <w:rPr>
                <w:highlight w:val="white"/>
              </w:rPr>
            </w:r>
            <w:r/>
          </w:p>
        </w:tc>
        <w:tc>
          <w:tcPr>
            <w:tcW w:w="7622" w:type="dxa"/>
            <w:textDirection w:val="lrTb"/>
            <w:noWrap w:val="false"/>
          </w:tcPr>
          <w:p>
            <w:pPr>
              <w:jc w:val="left"/>
              <w:widowControl w:val="off"/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highlight w:val="white"/>
              </w:rPr>
              <w:t xml:space="preserve">проведение тестирования на выявление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highlight w:val="white"/>
              </w:rPr>
              <w:t xml:space="preserve">респираторных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highlight w:val="white"/>
              </w:rPr>
              <w:t xml:space="preserve"> вирусных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highlight w:val="white"/>
              </w:rPr>
              <w:t xml:space="preserve">заболеваний (грипп, COVID-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highlight w:val="white"/>
              </w:rPr>
              <w:t xml:space="preserve">19) в период госпитализации</w:t>
            </w:r>
            <w:r>
              <w:rPr>
                <w:highlight w:val="whit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highlight w:val="white"/>
              </w:rPr>
              <w:t xml:space="preserve">0,05</w:t>
            </w:r>
            <w:r>
              <w:rPr>
                <w:highlight w:val="white"/>
              </w:rPr>
            </w:r>
            <w:r/>
          </w:p>
        </w:tc>
      </w:tr>
    </w:tbl>
    <w:p>
      <w:pPr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 w:themeColor="text1"/>
          <w:sz w:val="24"/>
          <w:highlight w:val="white"/>
          <w:vertAlign w:val="superscript"/>
        </w:rPr>
        <w:t xml:space="preserve">1 </w:t>
      </w:r>
      <w:r>
        <w:rPr>
          <w:rFonts w:ascii="Times New Roman" w:hAnsi="Times New Roman"/>
          <w:color w:val="000000" w:themeColor="text1"/>
          <w:sz w:val="24"/>
          <w:highlight w:val="white"/>
        </w:rPr>
        <w:t xml:space="preserve">– наличие у пациента дополнительного диагноза (диагноза осложнения заболевания) из перечня, определенного Приложением №1 </w:t>
      </w:r>
      <w:r>
        <w:rPr>
          <w:rFonts w:ascii="Times New Roman" w:hAnsi="Times New Roman"/>
          <w:sz w:val="24"/>
          <w:highlight w:val="white"/>
        </w:rPr>
        <w:t xml:space="preserve">к</w:t>
      </w:r>
      <w:r>
        <w:rPr>
          <w:highlight w:val="white"/>
        </w:rPr>
        <w:t xml:space="preserve"> </w:t>
      </w:r>
      <w:r>
        <w:rPr>
          <w:rFonts w:ascii="Times New Roman" w:hAnsi="Times New Roman"/>
          <w:sz w:val="24"/>
          <w:highlight w:val="white"/>
        </w:rPr>
        <w:t xml:space="preserve">Методическим рекомендациям по способам оплаты медицинской помощи за счет средств обязательного ме</w:t>
      </w:r>
      <w:r>
        <w:rPr>
          <w:rFonts w:ascii="Times New Roman" w:hAnsi="Times New Roman"/>
          <w:sz w:val="24"/>
          <w:highlight w:val="white"/>
        </w:rPr>
        <w:t xml:space="preserve">дицинского страхования,</w:t>
      </w:r>
      <w:r>
        <w:rPr>
          <w:rFonts w:ascii="Times New Roman" w:hAnsi="Times New Roman"/>
          <w:color w:val="000000" w:themeColor="text1"/>
          <w:sz w:val="24"/>
          <w:highlight w:val="white"/>
        </w:rPr>
        <w:t xml:space="preserve"> медицинская помощь в соответствии с которым оказывалась пациенту в период госпитализации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 w:themeColor="text1"/>
          <w:sz w:val="24"/>
          <w:highlight w:val="white"/>
          <w:vertAlign w:val="superscript"/>
        </w:rPr>
        <w:t xml:space="preserve">2</w:t>
      </w:r>
      <w:r>
        <w:rPr>
          <w:rFonts w:ascii="Times New Roman" w:hAnsi="Times New Roman"/>
          <w:color w:val="000000" w:themeColor="text1"/>
          <w:sz w:val="24"/>
          <w:highlight w:val="white"/>
        </w:rPr>
        <w:t xml:space="preserve"> – перечень возможных операций, а также критерии отнесения соответствующих операций к уровню КСЛП определен настоящим Приложением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  <w:vertAlign w:val="superscript"/>
        </w:rPr>
        <w:t xml:space="preserve">3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 –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 в сутки (при условии организации о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*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 – стоимость КСЛП «проведение сопроводительной лекарственной терапии при злокачественных новообразованиях у взрослых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в соответствии с клиническими рекомендациями» в стационарных условиях и в условиях дневного стационара определяется без учета коэффициента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дифференциации субъекта Российской Федерации.</w:t>
      </w:r>
      <w:r>
        <w:rPr>
          <w:highlight w:val="white"/>
        </w:rPr>
      </w:r>
      <w:r/>
    </w:p>
    <w:p>
      <w:pPr>
        <w:ind w:firstLine="56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pStyle w:val="1044"/>
        <w:ind w:firstLine="567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В случае</w:t>
      </w:r>
      <w:r>
        <w:rPr>
          <w:rFonts w:ascii="Times New Roman" w:hAnsi="Times New Roman" w:cs="Times New Roman"/>
          <w:sz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highlight w:val="white"/>
        </w:rPr>
        <w:t xml:space="preserve"> если в рамках одной госпитализации возможно применение нескольких КСЛП, итоговое значение КСЛП рассчитывается путем суммирования соответствующих КСЛП.</w:t>
      </w:r>
      <w:r>
        <w:rPr>
          <w:highlight w:val="white"/>
        </w:rPr>
      </w:r>
      <w:r/>
    </w:p>
    <w:p>
      <w:pPr>
        <w:pStyle w:val="1044"/>
        <w:ind w:firstLine="567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При отсутствии оснований применения КСЛП, значение параметра КСЛП при расчете стоимости законченного случая лечения принимается </w:t>
      </w:r>
      <w:r>
        <w:rPr>
          <w:rFonts w:ascii="Times New Roman" w:hAnsi="Times New Roman" w:cs="Times New Roman"/>
          <w:sz w:val="28"/>
          <w:highlight w:val="white"/>
        </w:rPr>
        <w:t xml:space="preserve">равным</w:t>
      </w:r>
      <w:r>
        <w:rPr>
          <w:rFonts w:ascii="Times New Roman" w:hAnsi="Times New Roman" w:cs="Times New Roman"/>
          <w:sz w:val="28"/>
          <w:highlight w:val="white"/>
        </w:rPr>
        <w:t xml:space="preserve"> 0.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Порядок применения КСЛП определен приложением №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 м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етодическим рекомендациям Министерства здравоохранения Российско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й Федерации и Федерального фонда обязательного медицинского страхования «Методические рекомендации по способам оплаты медицинской помощи за счет средств обязательного медицинского страхования»</w:t>
      </w:r>
      <w:r>
        <w:rPr>
          <w:rFonts w:ascii="Times New Roman" w:hAnsi="Times New Roman" w:cs="Times New Roman"/>
          <w:sz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ind w:firstLine="567"/>
        <w:jc w:val="both"/>
        <w:rPr>
          <w:rFonts w:ascii="Times New Roman" w:hAnsi="Times New Roman" w:cs="Times New Roman" w:eastAsia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highlight w:val="white"/>
        </w:rPr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3.2.4.3. Коэффициенты специфики (КС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vertAlign w:val="subscript"/>
        </w:rPr>
        <w:t xml:space="preserve">КСГ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):</w:t>
      </w:r>
      <w:r>
        <w:rPr>
          <w:highlight w:val="white"/>
        </w:rPr>
      </w:r>
      <w:r/>
    </w:p>
    <w:tbl>
      <w:tblPr>
        <w:tblStyle w:val="1029"/>
        <w:tblW w:w="100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45"/>
        <w:gridCol w:w="2302"/>
      </w:tblGrid>
      <w:tr>
        <w:trPr/>
        <w:tc>
          <w:tcPr>
            <w:tcW w:w="13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КСГ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Наименование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Коэффициент специфики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st07.001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Врожденные аномалии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сердечно-сосудистой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системы, дети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st09.001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Операции на мужских половых органах, дети (уровень 1)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st09.002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Операции на мужских половых органах, дети (уровень 2)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st09.003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Операции на мужских половых органах, дети (уровень 3)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st09.004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Операции на мужских половых органах, дети (уровень 4)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st09.005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Операции на почке и мочевыделительной системе, дети (уровень 1)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st09.006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Операции на почке и мочевыделительной сист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еме, дети (уровень 2)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st09.007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Операции на почке и мочевыделительной системе, дети (уровень 3)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st09.008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Операции на почке и мочевыделительной системе, дети (уровень 4)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st09.009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Операции на почке и мочевыделительной системе, дети (уровень 5)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st09.010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Операции на почке и мочевыделительной системе, дети (уровень 6)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st10.001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Детская хирургия (уровень 1)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st10.002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Детская хирургия (уровень 2)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st10.003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Аппендэктомия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, дети (уровень 1)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st10.004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Аппендэктомия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, дети (уровень 2)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st10.005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Операции по поводу грыж, дети (уровень 1)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st10.006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Операции по поводу грыж, дети (уровень 2)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st10.007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Операции по поводу грыж, дети (уровень 3)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st11.001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Сахарный диабет, дети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st11.002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Заболевания гипофиза, дети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st11.003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Другие болезни эндокринной системы, дети (уровень 1)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st11.004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Другие болезни эндокринной системы, дети (уровень 2)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st22.002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Другие болезни органов пищеварения, дети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st22.003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Воспалительные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артропатии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спондилопатии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, дети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st22.004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Врожденные аномалии головного и спинного мозга, дети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st23.006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Астма, дети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1,4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st27.003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Болезни желчного пузыря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0,95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st27.004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Другие болезни органов пищеварения, взрослые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0,95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st27.005 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Гипертоническая болезнь в стадии обострения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0,95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st27.006 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Стенокардия (кроме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нестабильной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), хроническая ишемическая болезнь сердца (уровень 1)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0,95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st27.008 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Другие болезни сердца (уровень 1)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0,95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st27.010 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Бронхит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необструктивный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, симптомы и признаки, относящиеся к органам дыхания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0,95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highlight w:val="white"/>
        </w:rPr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3.2.4.4. Коэффициент приведения среднего норматива финансовых затрат на 1 случай лечения в круглосуточном стационаре к базовой ставке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(КП) установлен в размере 0,65046.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3.2.5. Расчет стоимости 1 случая лечения заболевания в круглосуточном стационаре.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pStyle w:val="1044"/>
        <w:ind w:firstLine="540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Стоимость одного случая госпитализации в круглосуточном стационаре (</w:t>
      </w:r>
      <w:r>
        <w:rPr>
          <w:rFonts w:ascii="Times New Roman" w:hAnsi="Times New Roman" w:cs="Times New Roman"/>
          <w:sz w:val="28"/>
          <w:highlight w:val="white"/>
        </w:rPr>
        <w:t xml:space="preserve">ССксг</w:t>
      </w:r>
      <w:r>
        <w:rPr>
          <w:rFonts w:ascii="Times New Roman" w:hAnsi="Times New Roman" w:cs="Times New Roman"/>
          <w:sz w:val="28"/>
          <w:highlight w:val="white"/>
        </w:rPr>
        <w:t xml:space="preserve">) по КСГ (за исключением КСГ, в составе которых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 29.12.2022 № 2497 «О Программе государственных гарантий бесплатного оказания гражданам медицинской помощи на 2023 год и на плановый период 2024 и 2025 годов»</w:t>
      </w:r>
      <w:r>
        <w:rPr>
          <w:rFonts w:ascii="Times New Roman" w:hAnsi="Times New Roman" w:cs="Times New Roman"/>
          <w:sz w:val="28"/>
          <w:highlight w:val="white"/>
        </w:rPr>
        <w:t xml:space="preserve"> установлены доли заработной платы и прочих расходов), определяется по следующей формуле:</w:t>
      </w:r>
      <w:r>
        <w:rPr>
          <w:highlight w:val="white"/>
        </w:rPr>
      </w:r>
      <w:r/>
    </w:p>
    <w:p>
      <w:pPr>
        <w:pStyle w:val="1044"/>
        <w:jc w:val="both"/>
        <w:rPr>
          <w:rFonts w:ascii="Times New Roman" w:hAnsi="Times New Roman" w:cs="Times New Roman"/>
          <w:sz w:val="28"/>
          <w:highlight w:val="white"/>
        </w:rPr>
      </w:pPr>
      <m:oMath>
        <m:r>
          <w:rPr>
            <w:rFonts w:ascii="Cambria Math" w:hAnsi="Cambria Math" w:cs="Cambria Math" w:eastAsia="Cambria Math" w:hint="default"/>
            <w:color w:val="000000" w:themeColor="text1"/>
            <w:sz w:val="32"/>
            <w:lang w:eastAsia="ru-RU"/>
          </w:rPr>
          <m:rPr>
            <m:sty m:val="i"/>
          </m:rPr>
          <m:t>      </m:t>
        </m:r>
        <m:sSub>
          <m:sSubPr>
            <m:ctrlPr>
              <w:rPr>
                <w:rFonts w:ascii="Cambria Math" w:hAnsi="Cambria Math" w:cs="Calibri" w:eastAsia="Times New Roman"/>
                <w:i/>
                <w:color w:val="000000" w:themeColor="text1"/>
                <w:sz w:val="32"/>
                <w:szCs w:val="20"/>
                <w:lang w:eastAsia="ru-RU"/>
              </w:rPr>
            </m:ctrlPr>
          </m:sSubPr>
          <m:e>
            <m:r>
              <w:rPr>
                <w:rFonts w:ascii="Cambria Math" w:hAnsi="Cambria Math" w:cs="Calibri" w:eastAsia="Times New Roman"/>
                <w:color w:val="000000" w:themeColor="text1"/>
                <w:sz w:val="32"/>
                <w:szCs w:val="20"/>
                <w:lang w:eastAsia="ru-RU"/>
              </w:rPr>
              <m:rPr/>
              <m:t>СС</m:t>
            </m:r>
          </m:e>
          <m:sub>
            <m:r>
              <w:rPr>
                <w:rFonts w:ascii="Cambria Math" w:hAnsi="Cambria Math" w:cs="Calibri" w:eastAsia="Times New Roman"/>
                <w:color w:val="000000" w:themeColor="text1"/>
                <w:sz w:val="32"/>
                <w:szCs w:val="20"/>
                <w:lang w:eastAsia="ru-RU"/>
              </w:rPr>
              <m:rPr/>
              <m:t>КСГ</m:t>
            </m:r>
          </m:sub>
        </m:sSub>
        <m:r>
          <w:rPr>
            <w:rFonts w:ascii="Cambria Math" w:hAnsi="Cambria Math" w:cs="Calibri" w:eastAsia="Times New Roman"/>
            <w:color w:val="000000" w:themeColor="text1"/>
            <w:sz w:val="32"/>
            <w:szCs w:val="20"/>
            <w:lang w:eastAsia="ru-RU"/>
          </w:rPr>
          <m:rPr/>
          <m:t>=БС×КД×</m:t>
        </m:r>
        <m:sSub>
          <m:sSubPr>
            <m:ctrlPr>
              <w:rPr>
                <w:rFonts w:ascii="Cambria Math" w:hAnsi="Cambria Math" w:cs="Calibri" w:eastAsia="Times New Roman"/>
                <w:i/>
                <w:color w:val="000000" w:themeColor="text1"/>
                <w:sz w:val="32"/>
                <w:szCs w:val="20"/>
                <w:lang w:eastAsia="ru-RU"/>
              </w:rPr>
            </m:ctrlPr>
          </m:sSubPr>
          <m:e>
            <m:r>
              <w:rPr>
                <w:rFonts w:ascii="Cambria Math" w:hAnsi="Cambria Math" w:cs="Calibri" w:eastAsia="Times New Roman"/>
                <w:color w:val="000000" w:themeColor="text1"/>
                <w:sz w:val="32"/>
                <w:szCs w:val="20"/>
                <w:lang w:eastAsia="ru-RU"/>
              </w:rPr>
              <m:rPr/>
              <m:t>КЗ</m:t>
            </m:r>
          </m:e>
          <m:sub>
            <m:r>
              <w:rPr>
                <w:rFonts w:ascii="Cambria Math" w:hAnsi="Cambria Math" w:cs="Calibri" w:eastAsia="Times New Roman"/>
                <w:color w:val="000000" w:themeColor="text1"/>
                <w:sz w:val="32"/>
                <w:szCs w:val="20"/>
                <w:lang w:eastAsia="ru-RU"/>
              </w:rPr>
              <m:rPr/>
              <m:t>КСГ</m:t>
            </m:r>
          </m:sub>
        </m:sSub>
        <m:r>
          <w:rPr>
            <w:rFonts w:ascii="Cambria Math" w:hAnsi="Cambria Math" w:cs="Calibri" w:eastAsia="Times New Roman"/>
            <w:color w:val="000000" w:themeColor="text1"/>
            <w:sz w:val="32"/>
            <w:szCs w:val="20"/>
            <w:lang w:eastAsia="ru-RU"/>
          </w:rPr>
          <m:rPr/>
          <m:t>×</m:t>
        </m:r>
        <m:sSub>
          <m:sSubPr>
            <m:ctrlPr>
              <w:rPr>
                <w:rFonts w:ascii="Cambria Math" w:hAnsi="Cambria Math" w:cs="Calibri" w:eastAsia="Times New Roman"/>
                <w:i/>
                <w:color w:val="000000" w:themeColor="text1"/>
                <w:sz w:val="29"/>
                <w:szCs w:val="20"/>
                <w:lang w:eastAsia="ru-RU"/>
              </w:rPr>
            </m:ctrlPr>
          </m:sSubPr>
          <m:e>
            <m:r>
              <w:rPr>
                <w:rFonts w:ascii="Cambria Math" w:hAnsi="Cambria Math" w:cs="Calibri"/>
                <w:color w:val="000000" w:themeColor="text1"/>
                <w:sz w:val="29"/>
                <w:szCs w:val="20"/>
                <w:lang w:eastAsia="ru-RU"/>
              </w:rPr>
              <m:rPr>
                <m:sty m:val="p"/>
              </m:rPr>
              <m:t>КС</m:t>
            </m:r>
          </m:e>
          <m:sub>
            <m:r>
              <w:rPr>
                <w:rFonts w:ascii="Cambria Math" w:hAnsi="Cambria Math" w:cs="Calibri"/>
                <w:color w:val="000000" w:themeColor="text1"/>
                <w:sz w:val="29"/>
                <w:szCs w:val="20"/>
                <w:lang w:eastAsia="ru-RU"/>
              </w:rPr>
              <m:rPr/>
              <m:t>КСГ</m:t>
            </m:r>
          </m:sub>
        </m:sSub>
        <m:r>
          <w:rPr>
            <w:rFonts w:ascii="Cambria Math" w:hAnsi="Cambria Math" w:cs="Calibri"/>
            <w:color w:val="000000" w:themeColor="text1"/>
            <w:sz w:val="29"/>
            <w:szCs w:val="20"/>
            <w:lang w:eastAsia="ru-RU"/>
          </w:rPr>
          <m:rPr/>
          <m:t>×</m:t>
        </m:r>
        <m:sSub>
          <m:sSubPr>
            <m:ctrlPr>
              <w:rPr>
                <w:rFonts w:ascii="Cambria Math" w:hAnsi="Cambria Math" w:cs="Calibri" w:eastAsia="Times New Roman"/>
                <w:i/>
                <w:color w:val="000000" w:themeColor="text1"/>
                <w:sz w:val="29"/>
                <w:szCs w:val="20"/>
                <w:lang w:eastAsia="ru-RU"/>
              </w:rPr>
            </m:ctrlPr>
          </m:sSubPr>
          <m:e>
            <m:r>
              <w:rPr>
                <w:rFonts w:ascii="Cambria Math" w:hAnsi="Cambria Math" w:cs="Calibri"/>
                <w:color w:val="000000" w:themeColor="text1"/>
                <w:sz w:val="29"/>
                <w:szCs w:val="20"/>
                <w:lang w:eastAsia="ru-RU"/>
              </w:rPr>
              <m:rPr/>
              <m:t>КУС</m:t>
            </m:r>
          </m:e>
          <m:sub>
            <m:r>
              <w:rPr>
                <w:rFonts w:ascii="Cambria Math" w:hAnsi="Cambria Math" w:cs="Calibri"/>
                <w:color w:val="000000" w:themeColor="text1"/>
                <w:sz w:val="29"/>
                <w:szCs w:val="20"/>
                <w:lang w:eastAsia="ru-RU"/>
              </w:rPr>
              <m:rPr/>
              <m:t>МО</m:t>
            </m:r>
          </m:sub>
        </m:sSub>
        <m:r>
          <w:rPr>
            <w:rFonts w:ascii="Cambria Math" w:hAnsi="Cambria Math" w:cs="Calibri" w:eastAsia="Times New Roman"/>
            <w:color w:val="000000" w:themeColor="text1"/>
            <w:sz w:val="32"/>
            <w:szCs w:val="20"/>
            <w:lang w:eastAsia="ru-RU"/>
          </w:rPr>
          <m:rPr/>
          <m:t>+БС×</m:t>
        </m:r>
        <m:r>
          <w:rPr>
            <w:rFonts w:ascii="Cambria Math" w:hAnsi="Cambria Math" w:cs="Calibri" w:eastAsia="Times New Roman"/>
            <w:color w:val="000000" w:themeColor="text1"/>
            <w:sz w:val="32"/>
            <w:szCs w:val="20"/>
            <w:lang w:eastAsia="ru-RU"/>
          </w:rPr>
          <m:rPr/>
          <m:t>КД</m:t>
        </m:r>
        <m:r>
          <w:rPr>
            <w:rFonts w:ascii="Cambria Math" w:hAnsi="Cambria Math" w:cs="Calibri" w:eastAsia="Times New Roman"/>
            <w:color w:val="000000" w:themeColor="text1"/>
            <w:sz w:val="32"/>
            <w:szCs w:val="20"/>
            <w:lang w:eastAsia="ru-RU"/>
          </w:rPr>
          <m:rPr/>
          <m:t>×КСЛП</m:t>
        </m:r>
      </m:oMath>
      <w:r>
        <w:rPr>
          <w:rFonts w:ascii="Times New Roman" w:hAnsi="Times New Roman" w:cs="Times New Roman"/>
          <w:sz w:val="28"/>
          <w:highlight w:val="white"/>
        </w:rPr>
        <w:t xml:space="preserve">, где:</w:t>
      </w:r>
      <w:r/>
      <w:r>
        <w:rPr>
          <w:rFonts w:ascii="Times New Roman" w:hAnsi="Times New Roman" w:cs="Times New Roman"/>
          <w:sz w:val="28"/>
          <w:highlight w:val="white"/>
        </w:rPr>
      </w:r>
    </w:p>
    <w:p>
      <w:pPr>
        <w:pStyle w:val="1044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</w:r>
      <w:r>
        <w:rPr>
          <w:highlight w:val="white"/>
        </w:rPr>
      </w:r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22"/>
        <w:gridCol w:w="7448"/>
        <w:gridCol w:w="62"/>
      </w:tblGrid>
      <w:tr>
        <w:trPr>
          <w:gridAfter w:val="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044"/>
              <w:rPr>
                <w:rFonts w:ascii="Times New Roman" w:hAnsi="Times New Roman" w:cs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      БС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48" w:type="dxa"/>
            <w:textDirection w:val="lrTb"/>
            <w:noWrap w:val="false"/>
          </w:tcPr>
          <w:p>
            <w:pPr>
              <w:pStyle w:val="1044"/>
              <w:jc w:val="both"/>
              <w:rPr>
                <w:rFonts w:ascii="Times New Roman" w:hAnsi="Times New Roman" w:cs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базовая ставка, рублей;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044"/>
              <w:rPr>
                <w:rFonts w:ascii="Times New Roman" w:hAnsi="Times New Roman" w:cs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      КД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0" w:type="dxa"/>
            <w:textDirection w:val="lrTb"/>
            <w:noWrap w:val="false"/>
          </w:tcPr>
          <w:p>
            <w:pPr>
              <w:pStyle w:val="1044"/>
              <w:jc w:val="both"/>
              <w:rPr>
                <w:rFonts w:ascii="Times New Roman" w:hAnsi="Times New Roman" w:cs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коэффициент дифференциации, рассчитанный в соответствии с Постановлением № 462);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044"/>
              <w:rPr>
                <w:rFonts w:ascii="Times New Roman" w:hAnsi="Times New Roman" w:cs="Times New Roman"/>
                <w:sz w:val="28"/>
                <w:highlight w:val="white"/>
              </w:rPr>
            </w:pPr>
            <w:r>
              <w:rPr>
                <w:highlight w:val="white"/>
              </w:rPr>
            </w:r>
            <m:oMathPara>
              <m:oMathParaPr/>
              <m:oMath>
                <m:sSub>
                  <m:sSubPr>
                    <m:ctrlPr>
                      <w:rPr>
                        <w:rFonts w:ascii="Cambria Math" w:hAnsi="Cambria Math" w:cs="Cambria Math" w:eastAsia="Cambria Math"/>
                        <w:i/>
                        <w:sz w:val="28"/>
                        <w:highlight w:val="white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highlight w:val="white"/>
                        <w:vertAlign w:val="subscript"/>
                      </w:rPr>
                      <m:rPr/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highlight w:val="white"/>
                        <w:vertAlign w:val="subscript"/>
                      </w:rPr>
                      <m:rPr/>
                      <m:t>КСГ</m:t>
                    </m:r>
                  </m:sub>
                </m:sSub>
              </m:oMath>
            </m:oMathPara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0" w:type="dxa"/>
            <w:textDirection w:val="lrTb"/>
            <w:noWrap w:val="false"/>
          </w:tcPr>
          <w:p>
            <w:pPr>
              <w:pStyle w:val="1044"/>
              <w:jc w:val="both"/>
              <w:rPr>
                <w:rFonts w:ascii="Times New Roman" w:hAnsi="Times New Roman" w:cs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коэффициент относительной затратоемкости КСГ, к которой отнесен данный случай госпитализации;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044"/>
              <w:jc w:val="center"/>
              <w:rPr>
                <w:rFonts w:cs="Times New Roman" w:eastAsia="Calibri"/>
                <w:sz w:val="29"/>
                <w:szCs w:val="29"/>
                <w:highlight w:val="white"/>
              </w:rPr>
            </w:pPr>
            <w:r>
              <w:rPr>
                <w:highlight w:val="white"/>
              </w:rPr>
            </w:r>
            <m:oMathPara>
              <m:oMathParaPr/>
              <m:oMath>
                <m:sSub>
                  <m:sSubPr>
                    <m:ctrlPr>
                      <w:rPr>
                        <w:rFonts w:ascii="Cambria Math" w:hAnsi="Cambria Math" w:eastAsiaTheme="minorHAnsi" w:cstheme="minorBidi"/>
                        <w:i/>
                        <w:sz w:val="29"/>
                        <w:szCs w:val="29"/>
                        <w:highlight w:val="white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eastAsiaTheme="minorHAnsi" w:cstheme="minorBidi"/>
                        <w:sz w:val="29"/>
                        <w:szCs w:val="29"/>
                        <w:highlight w:val="white"/>
                        <w:lang w:eastAsia="en-US"/>
                      </w:rPr>
                      <m:rPr>
                        <m:sty m:val="p"/>
                      </m:rPr>
                      <m:t>КС</m:t>
                    </m:r>
                  </m:e>
                  <m:sub>
                    <m:r>
                      <w:rPr>
                        <w:rFonts w:ascii="Cambria Math" w:hAnsi="Cambria Math" w:eastAsiaTheme="minorHAnsi" w:cstheme="minorBidi"/>
                        <w:sz w:val="29"/>
                        <w:szCs w:val="29"/>
                        <w:highlight w:val="white"/>
                        <w:lang w:eastAsia="en-US"/>
                      </w:rPr>
                      <m:rPr/>
                      <m:t>КСГ</m:t>
                    </m:r>
                  </m:sub>
                </m:sSub>
              </m:oMath>
            </m:oMathPara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0" w:type="dxa"/>
            <w:textDirection w:val="lrTb"/>
            <w:noWrap w:val="false"/>
          </w:tcPr>
          <w:p>
            <w:pPr>
              <w:pStyle w:val="1044"/>
              <w:jc w:val="both"/>
              <w:rPr>
                <w:rFonts w:ascii="Times New Roman" w:hAnsi="Times New Roman" w:cs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коэффициент специфики КСГ, к которой отнесен данный случай госпитализации (используется в расчетах, в случае если указанный коэффициент определен 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для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 данно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й КСГ);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044"/>
              <w:jc w:val="center"/>
              <w:rPr>
                <w:rFonts w:ascii="Times New Roman" w:hAnsi="Times New Roman" w:cs="Times New Roman"/>
                <w:sz w:val="28"/>
                <w:highlight w:val="white"/>
              </w:rPr>
            </w:pPr>
            <w:r>
              <w:rPr>
                <w:highlight w:val="white"/>
              </w:rPr>
            </w:r>
            <m:oMathPara>
              <m:oMathParaPr/>
              <m:oMath>
                <m:sSub>
                  <m:sSubPr>
                    <m:ctrlPr>
                      <w:rPr>
                        <w:rFonts w:ascii="Cambria Math" w:hAnsi="Cambria Math" w:eastAsiaTheme="minorHAnsi" w:cstheme="minorBidi"/>
                        <w:i/>
                        <w:sz w:val="29"/>
                        <w:szCs w:val="29"/>
                        <w:highlight w:val="white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eastAsiaTheme="minorHAnsi" w:cstheme="minorBidi"/>
                        <w:sz w:val="29"/>
                        <w:szCs w:val="29"/>
                        <w:highlight w:val="white"/>
                        <w:lang w:eastAsia="en-US"/>
                      </w:rPr>
                      <m:rPr/>
                      <m:t>КУС</m:t>
                    </m:r>
                  </m:e>
                  <m:sub>
                    <m:r>
                      <w:rPr>
                        <w:rFonts w:ascii="Cambria Math" w:hAnsi="Cambria Math" w:eastAsiaTheme="minorHAnsi" w:cstheme="minorBidi"/>
                        <w:sz w:val="29"/>
                        <w:szCs w:val="29"/>
                        <w:highlight w:val="white"/>
                        <w:lang w:eastAsia="en-US"/>
                      </w:rPr>
                      <m:rPr/>
                      <m:t>МО</m:t>
                    </m:r>
                  </m:sub>
                </m:sSub>
              </m:oMath>
            </m:oMathPara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0" w:type="dxa"/>
            <w:textDirection w:val="lrTb"/>
            <w:noWrap w:val="false"/>
          </w:tcPr>
          <w:p>
            <w:pPr>
              <w:pStyle w:val="1044"/>
              <w:jc w:val="both"/>
              <w:rPr>
                <w:rFonts w:ascii="Times New Roman" w:hAnsi="Times New Roman" w:cs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коэффициент подуровня медицинской организации, в которой был пролечен пациент;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044"/>
              <w:jc w:val="center"/>
              <w:rPr>
                <w:rFonts w:ascii="Times New Roman" w:hAnsi="Times New Roman" w:cs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КСЛП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0" w:type="dxa"/>
            <w:textDirection w:val="lrTb"/>
            <w:noWrap w:val="false"/>
          </w:tcPr>
          <w:p>
            <w:pPr>
              <w:pStyle w:val="1044"/>
              <w:jc w:val="both"/>
              <w:rPr>
                <w:rFonts w:ascii="Times New Roman" w:hAnsi="Times New Roman" w:cs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коэффициент сложности лечения пациента (при необходимости, сумма 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применяемых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 КСЛП)</w:t>
            </w:r>
            <w:r>
              <w:rPr>
                <w:highlight w:val="white"/>
              </w:rPr>
            </w:r>
            <w:r/>
          </w:p>
        </w:tc>
      </w:tr>
    </w:tbl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highlight w:val="white"/>
        </w:rPr>
        <w:t xml:space="preserve">Стоимость одного случая госпитализации в круглосуточном стационаре (</w:t>
      </w:r>
      <w:r>
        <w:rPr>
          <w:rFonts w:ascii="Times New Roman" w:hAnsi="Times New Roman" w:cs="Times New Roman"/>
          <w:sz w:val="28"/>
          <w:highlight w:val="white"/>
        </w:rPr>
        <w:t xml:space="preserve">ССксг</w:t>
      </w:r>
      <w:r>
        <w:rPr>
          <w:rFonts w:ascii="Times New Roman" w:hAnsi="Times New Roman" w:cs="Times New Roman"/>
          <w:sz w:val="28"/>
          <w:highlight w:val="white"/>
        </w:rPr>
        <w:t xml:space="preserve">) по КСГ в составе которых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 29.12.2022 № 2497 «О Программе государственных гарантий бесплатного оказания гражданам медицинской помо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щи на 2023 год и на плановый период 2024 и 2025 годов»</w:t>
      </w:r>
      <w:r>
        <w:rPr>
          <w:rFonts w:ascii="Times New Roman" w:hAnsi="Times New Roman" w:cs="Times New Roman"/>
          <w:sz w:val="28"/>
          <w:highlight w:val="white"/>
        </w:rPr>
        <w:t xml:space="preserve"> установлены доли заработной платы и прочих расходов, определяется по следующей формуле:</w:t>
      </w:r>
      <w:r>
        <w:rPr>
          <w:highlight w:val="white"/>
        </w:rPr>
      </w:r>
      <w:r/>
    </w:p>
    <w:p>
      <w:pPr>
        <w:pStyle w:val="1044"/>
        <w:ind w:right="-143"/>
        <w:jc w:val="center"/>
        <w:tabs>
          <w:tab w:val="left" w:pos="567" w:leader="none"/>
          <w:tab w:val="right" w:pos="9498" w:leader="none"/>
        </w:tabs>
        <w:rPr>
          <w:rFonts w:ascii="Times New Roman" w:hAnsi="Times New Roman" w:cs="Times New Roman"/>
          <w:sz w:val="32"/>
          <w:highlight w:val="white"/>
        </w:rPr>
      </w:pPr>
      <w:r>
        <w:rPr>
          <w:highlight w:val="white"/>
        </w:rPr>
      </w:r>
      <m:oMathPara>
        <m:oMathParaPr/>
        <m:oMath>
          <m:sSub>
            <m:sSubPr>
              <m:ctrlPr>
                <w:rPr>
                  <w:rFonts w:ascii="Cambria Math" w:hAnsi="Cambria Math" w:cs="Cambria Math" w:eastAsia="Cambria Math"/>
                  <w:i/>
                  <w:sz w:val="28"/>
                  <w:szCs w:val="24"/>
                  <w:highlight w:val="white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4"/>
                  <w:highlight w:val="white"/>
                </w:rPr>
                <m:rPr/>
                <m:t>СС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4"/>
                  <w:highlight w:val="white"/>
                </w:rPr>
                <m:rPr/>
                <m:t>КСГ</m:t>
              </m:r>
            </m:sub>
          </m:sSub>
          <m:r>
            <w:rPr>
              <w:rFonts w:ascii="Cambria Math" w:hAnsi="Cambria Math" w:cs="Times New Roman"/>
              <w:sz w:val="28"/>
              <w:szCs w:val="24"/>
              <w:highlight w:val="white"/>
            </w:rPr>
            <m:rPr/>
            <m:t>=БС×</m:t>
          </m:r>
          <m:sSub>
            <m:sSubPr>
              <m:ctrlPr>
                <w:rPr>
                  <w:rFonts w:ascii="Cambria Math" w:hAnsi="Cambria Math" w:cs="Cambria Math" w:eastAsia="Cambria Math"/>
                  <w:i/>
                  <w:sz w:val="28"/>
                  <w:szCs w:val="24"/>
                  <w:highlight w:val="white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4"/>
                  <w:highlight w:val="white"/>
                </w:rPr>
                <m:rPr/>
                <m:t>КЗ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4"/>
                  <w:highlight w:val="white"/>
                </w:rPr>
                <m:rPr/>
                <m:t>КСГ</m:t>
              </m:r>
            </m:sub>
          </m:sSub>
          <m:r>
            <w:rPr>
              <w:rFonts w:ascii="Cambria Math" w:hAnsi="Cambria Math" w:cs="Times New Roman"/>
              <w:sz w:val="28"/>
              <w:szCs w:val="24"/>
              <w:highlight w:val="white"/>
            </w:rPr>
            <m:rPr/>
            <m:t>×</m:t>
          </m:r>
          <m:d>
            <m:dPr>
              <m:ctrlPr>
                <w:rPr>
                  <w:rFonts w:ascii="Cambria Math" w:hAnsi="Cambria Math" w:cs="Cambria Math" w:eastAsia="Cambria Math"/>
                  <w:i/>
                  <w:sz w:val="28"/>
                  <w:szCs w:val="24"/>
                  <w:highlight w:val="white"/>
                </w:rPr>
              </m:ctrlPr>
            </m:dPr>
            <m:e>
              <m:d>
                <m:dPr>
                  <m:ctrlPr>
                    <w:rPr>
                      <w:rFonts w:ascii="Cambria Math" w:hAnsi="Cambria Math" w:cs="Cambria Math" w:eastAsia="Cambria Math"/>
                      <w:i/>
                      <w:sz w:val="28"/>
                      <w:szCs w:val="24"/>
                      <w:highlight w:val="white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4"/>
                      <w:highlight w:val="white"/>
                    </w:rPr>
                    <m:rPr/>
                    <m:t>1-</m:t>
                  </m:r>
                  <m:sSub>
                    <m:sSubPr>
                      <m:ctrlPr>
                        <w:rPr>
                          <w:rFonts w:ascii="Cambria Math" w:hAnsi="Cambria Math" w:cs="Cambria Math" w:eastAsia="Cambria Math"/>
                          <w:i/>
                          <w:sz w:val="28"/>
                          <w:szCs w:val="24"/>
                          <w:highlight w:val="white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4"/>
                          <w:highlight w:val="white"/>
                        </w:rPr>
                        <m:rPr/>
                        <m:t>Д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4"/>
                          <w:highlight w:val="white"/>
                        </w:rPr>
                        <m:rPr/>
                        <m:t>ЗП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szCs w:val="24"/>
                  <w:highlight w:val="white"/>
                </w:rPr>
                <m:rPr/>
                <m:t> +</m:t>
              </m:r>
              <m:sSub>
                <m:sSubPr>
                  <m:ctrlPr>
                    <w:rPr>
                      <w:rFonts w:ascii="Cambria Math" w:hAnsi="Cambria Math" w:eastAsiaTheme="minorHAnsi" w:cstheme="minorBidi"/>
                      <w:i/>
                      <w:sz w:val="28"/>
                      <w:szCs w:val="24"/>
                      <w:highlight w:val="white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4"/>
                      <w:highlight w:val="white"/>
                    </w:rPr>
                    <m:rPr/>
                    <m:t>Д</m:t>
                  </m:r>
                </m:e>
                <m:sub>
                  <m:r>
                    <w:rPr>
                      <w:rFonts w:ascii="Cambria Math" w:hAnsi="Cambria Math" w:eastAsiaTheme="minorHAnsi" w:cstheme="minorBidi"/>
                      <w:sz w:val="28"/>
                      <w:szCs w:val="24"/>
                      <w:highlight w:val="white"/>
                      <w:lang w:eastAsia="en-US"/>
                    </w:rPr>
                    <m:rPr/>
                    <m:t>ЗП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4"/>
                  <w:highlight w:val="white"/>
                </w:rPr>
                <m:rPr/>
                <m:t>×</m:t>
              </m:r>
              <m:sSub>
                <m:sSubPr>
                  <m:ctrlPr>
                    <w:rPr>
                      <w:rFonts w:ascii="Cambria Math" w:hAnsi="Cambria Math" w:eastAsiaTheme="minorHAnsi" w:cstheme="minorBidi"/>
                      <w:i/>
                      <w:sz w:val="29"/>
                      <w:szCs w:val="29"/>
                      <w:highlight w:val="white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eastAsiaTheme="minorHAnsi" w:cstheme="minorBidi"/>
                      <w:sz w:val="29"/>
                      <w:szCs w:val="29"/>
                      <w:highlight w:val="white"/>
                      <w:lang w:eastAsia="en-US"/>
                    </w:rPr>
                    <m:rPr>
                      <m:sty m:val="p"/>
                    </m:rPr>
                    <m:t>КС</m:t>
                  </m:r>
                </m:e>
                <m:sub>
                  <m:r>
                    <w:rPr>
                      <w:rFonts w:ascii="Cambria Math" w:hAnsi="Cambria Math" w:eastAsiaTheme="minorHAnsi" w:cstheme="minorBidi"/>
                      <w:sz w:val="29"/>
                      <w:szCs w:val="29"/>
                      <w:highlight w:val="white"/>
                      <w:lang w:eastAsia="en-US"/>
                    </w:rPr>
                    <m:rPr/>
                    <m:t>КСГ</m:t>
                  </m:r>
                </m:sub>
              </m:sSub>
              <m:r>
                <w:rPr>
                  <w:rFonts w:ascii="Cambria Math" w:hAnsi="Cambria Math" w:eastAsiaTheme="minorHAnsi" w:cstheme="minorBidi"/>
                  <w:sz w:val="29"/>
                  <w:szCs w:val="29"/>
                  <w:highlight w:val="white"/>
                  <w:lang w:eastAsia="en-US"/>
                </w:rPr>
                <m:rPr/>
                <m:t>×</m:t>
              </m:r>
              <m:sSub>
                <m:sSubPr>
                  <m:ctrlPr>
                    <w:rPr>
                      <w:rFonts w:ascii="Cambria Math" w:hAnsi="Cambria Math" w:eastAsiaTheme="minorHAnsi" w:cstheme="minorBidi"/>
                      <w:i/>
                      <w:sz w:val="29"/>
                      <w:szCs w:val="29"/>
                      <w:highlight w:val="white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eastAsiaTheme="minorHAnsi" w:cstheme="minorBidi"/>
                      <w:sz w:val="29"/>
                      <w:szCs w:val="29"/>
                      <w:highlight w:val="white"/>
                      <w:lang w:eastAsia="en-US"/>
                    </w:rPr>
                    <m:rPr/>
                    <m:t>КУС</m:t>
                  </m:r>
                </m:e>
                <m:sub>
                  <m:r>
                    <w:rPr>
                      <w:rFonts w:ascii="Cambria Math" w:hAnsi="Cambria Math" w:eastAsiaTheme="minorHAnsi" w:cstheme="minorBidi"/>
                      <w:sz w:val="29"/>
                      <w:szCs w:val="29"/>
                      <w:highlight w:val="white"/>
                      <w:lang w:eastAsia="en-US"/>
                    </w:rPr>
                    <m:rPr/>
                    <m:t>МО</m:t>
                  </m:r>
                </m:sub>
              </m:sSub>
              <m:r>
                <w:rPr>
                  <w:rFonts w:ascii="Cambria Math" w:hAnsi="Cambria Math" w:eastAsiaTheme="minorHAnsi" w:cstheme="minorBidi"/>
                  <w:sz w:val="29"/>
                  <w:szCs w:val="29"/>
                  <w:highlight w:val="white"/>
                  <w:lang w:eastAsia="en-US"/>
                </w:rPr>
                <m:rPr/>
                <m:t>×КД</m:t>
              </m:r>
            </m:e>
          </m:d>
          <m:r>
            <w:rPr>
              <w:rFonts w:ascii="Cambria Math" w:hAnsi="Cambria Math" w:cs="Times New Roman"/>
              <w:sz w:val="28"/>
              <w:szCs w:val="24"/>
              <w:highlight w:val="white"/>
            </w:rPr>
            <m:rPr/>
            <m:t>+ БС×КД×КСЛП</m:t>
          </m:r>
        </m:oMath>
      </m:oMathPara>
      <w:r>
        <w:rPr>
          <w:highlight w:val="white"/>
        </w:rPr>
        <w:br/>
      </w:r>
      <w:r>
        <w:rPr>
          <w:rFonts w:ascii="Times New Roman" w:hAnsi="Times New Roman" w:cs="Times New Roman"/>
          <w:sz w:val="28"/>
          <w:szCs w:val="24"/>
          <w:highlight w:val="white"/>
        </w:rPr>
        <w:t xml:space="preserve">, </w:t>
      </w:r>
      <w:r>
        <w:rPr>
          <w:rFonts w:ascii="Times New Roman" w:hAnsi="Times New Roman" w:cs="Times New Roman"/>
          <w:sz w:val="32"/>
          <w:highlight w:val="white"/>
        </w:rPr>
        <w:t xml:space="preserve">где:</w:t>
      </w:r>
      <w:r>
        <w:rPr>
          <w:highlight w:val="white"/>
        </w:rPr>
      </w:r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22"/>
        <w:gridCol w:w="7510"/>
        <w:gridCol w:w="286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044"/>
              <w:jc w:val="center"/>
              <w:rPr>
                <w:rFonts w:ascii="Times New Roman" w:hAnsi="Times New Roman" w:cs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БС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96" w:type="dxa"/>
            <w:textDirection w:val="lrTb"/>
            <w:noWrap w:val="false"/>
          </w:tcPr>
          <w:p>
            <w:pPr>
              <w:pStyle w:val="1044"/>
              <w:jc w:val="both"/>
              <w:rPr>
                <w:rFonts w:ascii="Times New Roman" w:hAnsi="Times New Roman" w:cs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размер базовой ставки без учета коэффициента дифференциации, рублей;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044"/>
              <w:jc w:val="center"/>
              <w:rPr>
                <w:rFonts w:ascii="Times New Roman" w:hAnsi="Times New Roman" w:cs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КД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96" w:type="dxa"/>
            <w:textDirection w:val="lrTb"/>
            <w:noWrap w:val="false"/>
          </w:tcPr>
          <w:p>
            <w:pPr>
              <w:pStyle w:val="1044"/>
              <w:jc w:val="both"/>
              <w:rPr>
                <w:rFonts w:ascii="Times New Roman" w:hAnsi="Times New Roman" w:cs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коэффициент дифференциации, рассчитанный в соответствии с Постановлением № 462);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044"/>
              <w:jc w:val="center"/>
              <w:rPr>
                <w:rFonts w:ascii="Times New Roman" w:hAnsi="Times New Roman" w:cs="Times New Roman"/>
                <w:sz w:val="28"/>
                <w:highlight w:val="white"/>
              </w:rPr>
            </w:pPr>
            <w:r>
              <w:rPr>
                <w:highlight w:val="white"/>
              </w:rPr>
            </w:r>
            <m:oMathPara>
              <m:oMathParaPr/>
              <m:oMath>
                <m:sSub>
                  <m:sSubPr>
                    <m:ctrlPr>
                      <w:rPr>
                        <w:rFonts w:ascii="Cambria Math" w:hAnsi="Cambria Math" w:cs="Cambria Math" w:eastAsia="Cambria Math"/>
                        <w:i/>
                        <w:sz w:val="28"/>
                        <w:highlight w:val="white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highlight w:val="white"/>
                        <w:vertAlign w:val="subscript"/>
                      </w:rPr>
                      <m:rPr/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highlight w:val="white"/>
                        <w:vertAlign w:val="subscript"/>
                      </w:rPr>
                      <m:rPr/>
                      <m:t>КСГ</m:t>
                    </m:r>
                  </m:sub>
                </m:sSub>
              </m:oMath>
            </m:oMathPara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96" w:type="dxa"/>
            <w:textDirection w:val="lrTb"/>
            <w:noWrap w:val="false"/>
          </w:tcPr>
          <w:p>
            <w:pPr>
              <w:pStyle w:val="1044"/>
              <w:jc w:val="both"/>
              <w:rPr>
                <w:rFonts w:ascii="Times New Roman" w:hAnsi="Times New Roman" w:cs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коэффициент относительной затратоемкости по КСГ, к которой отнесен данный случай госпитализации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;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044"/>
              <w:jc w:val="center"/>
              <w:rPr>
                <w:rFonts w:ascii="Times New Roman" w:hAnsi="Times New Roman" w:cs="Times New Roman"/>
                <w:sz w:val="28"/>
                <w:highlight w:val="white"/>
              </w:rPr>
            </w:pPr>
            <w:r>
              <w:rPr>
                <w:highlight w:val="white"/>
              </w:rPr>
            </w:r>
            <m:oMathPara>
              <m:oMathParaPr/>
              <m:oMath>
                <m:sSub>
                  <m:sSubPr>
                    <m:ctrlPr>
                      <w:rPr>
                        <w:rFonts w:ascii="Cambria Math" w:hAnsi="Cambria Math" w:cs="Cambria Math" w:eastAsia="Cambria Math"/>
                        <w:i/>
                        <w:sz w:val="32"/>
                        <w:szCs w:val="28"/>
                        <w:highlight w:val="white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28"/>
                        <w:highlight w:val="white"/>
                      </w:rPr>
                      <m:rPr/>
                      <m:t>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28"/>
                        <w:highlight w:val="white"/>
                      </w:rPr>
                      <m:rPr/>
                      <m:t>ЗП</m:t>
                    </m:r>
                  </m:sub>
                </m:sSub>
              </m:oMath>
            </m:oMathPara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96" w:type="dxa"/>
            <w:textDirection w:val="lrTb"/>
            <w:noWrap w:val="false"/>
          </w:tcPr>
          <w:p>
            <w:pPr>
              <w:pStyle w:val="1044"/>
              <w:jc w:val="both"/>
              <w:rPr>
                <w:rFonts w:ascii="Times New Roman" w:hAnsi="Times New Roman" w:cs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доля заработной платы и прочих расходов в структуре стоимости КСГ установленная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Постановлением Правительства Российской Федерации от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29.12.2022 № 2497 «О Программе государственных гарантий бесплатного оказания гражданам медицинской помощи на 2023 го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д и на плановый период 2024 и 2025 годов»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 (приводится далее);</w:t>
            </w:r>
            <w:r>
              <w:rPr>
                <w:highlight w:val="white"/>
              </w:rPr>
            </w:r>
            <w:r/>
          </w:p>
        </w:tc>
      </w:tr>
      <w:tr>
        <w:trPr>
          <w:gridAfter w:val="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044"/>
              <w:jc w:val="center"/>
              <w:rPr>
                <w:rFonts w:cs="Times New Roman" w:eastAsia="Calibri"/>
                <w:sz w:val="29"/>
                <w:szCs w:val="29"/>
                <w:highlight w:val="white"/>
              </w:rPr>
            </w:pPr>
            <w:r>
              <w:rPr>
                <w:highlight w:val="white"/>
              </w:rPr>
            </w:r>
            <m:oMathPara>
              <m:oMathParaPr/>
              <m:oMath>
                <m:sSub>
                  <m:sSubPr>
                    <m:ctrlPr>
                      <w:rPr>
                        <w:rFonts w:ascii="Cambria Math" w:hAnsi="Cambria Math" w:eastAsiaTheme="minorHAnsi" w:cstheme="minorBidi"/>
                        <w:i/>
                        <w:sz w:val="29"/>
                        <w:szCs w:val="29"/>
                        <w:highlight w:val="white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eastAsiaTheme="minorHAnsi" w:cstheme="minorBidi"/>
                        <w:sz w:val="29"/>
                        <w:szCs w:val="29"/>
                        <w:highlight w:val="white"/>
                        <w:lang w:eastAsia="en-US"/>
                      </w:rPr>
                      <m:rPr>
                        <m:sty m:val="p"/>
                      </m:rPr>
                      <m:t>КС</m:t>
                    </m:r>
                  </m:e>
                  <m:sub>
                    <m:r>
                      <w:rPr>
                        <w:rFonts w:ascii="Cambria Math" w:hAnsi="Cambria Math" w:eastAsiaTheme="minorHAnsi" w:cstheme="minorBidi"/>
                        <w:sz w:val="29"/>
                        <w:szCs w:val="29"/>
                        <w:highlight w:val="white"/>
                        <w:lang w:eastAsia="en-US"/>
                      </w:rPr>
                      <m:rPr/>
                      <m:t>КСГ</m:t>
                    </m:r>
                  </m:sub>
                </m:sSub>
              </m:oMath>
            </m:oMathPara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0" w:type="dxa"/>
            <w:textDirection w:val="lrTb"/>
            <w:noWrap w:val="false"/>
          </w:tcPr>
          <w:p>
            <w:pPr>
              <w:pStyle w:val="1044"/>
              <w:jc w:val="both"/>
              <w:rPr>
                <w:rFonts w:ascii="Times New Roman" w:hAnsi="Times New Roman" w:cs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коэффициент специфики КСГ, к которой отнесен данный случай госпитализации (используется в расчетах, в случае если указанный коэффициент определен 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для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 данной КСГ);</w:t>
            </w:r>
            <w:r>
              <w:rPr>
                <w:highlight w:val="white"/>
              </w:rPr>
            </w:r>
            <w:r/>
          </w:p>
        </w:tc>
      </w:tr>
      <w:tr>
        <w:trPr>
          <w:gridAfter w:val="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044"/>
              <w:jc w:val="center"/>
              <w:rPr>
                <w:rFonts w:ascii="Times New Roman" w:hAnsi="Times New Roman" w:cs="Times New Roman"/>
                <w:sz w:val="28"/>
                <w:highlight w:val="white"/>
              </w:rPr>
            </w:pPr>
            <w:r>
              <w:rPr>
                <w:highlight w:val="white"/>
              </w:rPr>
            </w:r>
            <m:oMathPara>
              <m:oMathParaPr/>
              <m:oMath>
                <m:sSub>
                  <m:sSubPr>
                    <m:ctrlPr>
                      <w:rPr>
                        <w:rFonts w:ascii="Cambria Math" w:hAnsi="Cambria Math" w:eastAsiaTheme="minorHAnsi" w:cstheme="minorBidi"/>
                        <w:i/>
                        <w:sz w:val="29"/>
                        <w:szCs w:val="29"/>
                        <w:highlight w:val="white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eastAsiaTheme="minorHAnsi" w:cstheme="minorBidi"/>
                        <w:sz w:val="29"/>
                        <w:szCs w:val="29"/>
                        <w:highlight w:val="white"/>
                        <w:lang w:eastAsia="en-US"/>
                      </w:rPr>
                      <m:rPr/>
                      <m:t>КУС</m:t>
                    </m:r>
                  </m:e>
                  <m:sub>
                    <m:r>
                      <w:rPr>
                        <w:rFonts w:ascii="Cambria Math" w:hAnsi="Cambria Math" w:eastAsiaTheme="minorHAnsi" w:cstheme="minorBidi"/>
                        <w:sz w:val="29"/>
                        <w:szCs w:val="29"/>
                        <w:highlight w:val="white"/>
                        <w:lang w:eastAsia="en-US"/>
                      </w:rPr>
                      <m:rPr/>
                      <m:t>МО</m:t>
                    </m:r>
                  </m:sub>
                </m:sSub>
              </m:oMath>
            </m:oMathPara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0" w:type="dxa"/>
            <w:textDirection w:val="lrTb"/>
            <w:noWrap w:val="false"/>
          </w:tcPr>
          <w:p>
            <w:pPr>
              <w:pStyle w:val="1044"/>
              <w:jc w:val="both"/>
              <w:rPr>
                <w:rFonts w:ascii="Times New Roman" w:hAnsi="Times New Roman" w:cs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коэффициент подуровня медицинской организации, в которой был пролечен пациент;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044"/>
              <w:jc w:val="center"/>
              <w:rPr>
                <w:rFonts w:ascii="Times New Roman" w:hAnsi="Times New Roman" w:cs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КСЛП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96" w:type="dxa"/>
            <w:textDirection w:val="lrTb"/>
            <w:noWrap w:val="false"/>
          </w:tcPr>
          <w:p>
            <w:pPr>
              <w:pStyle w:val="1044"/>
              <w:jc w:val="both"/>
              <w:rPr>
                <w:rFonts w:ascii="Times New Roman" w:hAnsi="Times New Roman" w:cs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коэффициент сложности лечения пациента (при необходимости, сумма 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применяемых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 КСЛП).</w:t>
            </w:r>
            <w:r>
              <w:rPr>
                <w:highlight w:val="white"/>
              </w:rPr>
            </w:r>
            <w:r/>
          </w:p>
        </w:tc>
      </w:tr>
    </w:tbl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Доля заработной платы и прочих расходов в структуре стоимости КСГ, </w:t>
      </w:r>
      <w:r>
        <w:rPr>
          <w:rFonts w:ascii="Times New Roman" w:hAnsi="Times New Roman" w:cs="Times New Roman"/>
          <w:sz w:val="28"/>
          <w:highlight w:val="white"/>
        </w:rPr>
        <w:t xml:space="preserve">установленная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Постановлением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29.12.2022 № 2497 «О Программе государственных гарантий бесплатного оказания гражданам медицинской помощи на 2023 год и на плановый период 2024 и 2025 годов»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представлена в таблице:</w:t>
      </w:r>
      <w:r>
        <w:rPr>
          <w:highlight w:val="white"/>
        </w:rPr>
      </w:r>
      <w:r/>
    </w:p>
    <w:tbl>
      <w:tblPr>
        <w:tblW w:w="9985" w:type="dxa"/>
        <w:tblInd w:w="93" w:type="dxa"/>
        <w:tblLook w:val="04A0" w:firstRow="1" w:lastRow="0" w:firstColumn="1" w:lastColumn="0" w:noHBand="0" w:noVBand="1"/>
      </w:tblPr>
      <w:tblGrid>
        <w:gridCol w:w="968"/>
        <w:gridCol w:w="8122"/>
        <w:gridCol w:w="895"/>
      </w:tblGrid>
      <w:tr>
        <w:trPr>
          <w:trHeight w:val="59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№ КСГ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Наименование КС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Г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Доля (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Дзп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st02.014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Слинговые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операции при недержании мочи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30,45%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st06.004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дерматозов с применением наружной терапии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97,47%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st06.005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дерматозов с применением наружной терапии, физиотерапии,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плазмафереза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98,49%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st06.006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дерматозов с применением наружной и системной терапии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99,04%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st06.007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дерматозов с применением наружной терапии и фототерапии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98,00%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st12.015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Коронавирусная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инфекция COVID-19 (уровень 1)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91,12%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st12.016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Коронавирусная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инфекция COVID-19 (уровень 2)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61,30%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st12.017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Коронавирусная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инфекция COVID-19 (уровень 3)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63,24%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st12.018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Коронавирусная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инфекция COVID-19 (уровень 4)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77,63%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st19.123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Прочие операции при ЗНО (уровень 1)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28,13%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st19.124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Прочие операции при ЗНО (уровень 2)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39,56%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st19.084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Лучевая терапия в сочетании с лекарственной терапией (уровень 2)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87,08%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st19.085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Лучевая терапия в сочетании с лекарственной терапией (уровень 3)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88,84%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st19.086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Лучевая терапия в сочетании с лекарственной терапией (уровень 4)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87,05%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st19.087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Лучевая терапия в сочетании с лекарственной терапией (уровень 5)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88,49%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st19.088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Лучевая терапия в сочетании с лекарственной терапией (уровень 6)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46,03%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st19.089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Лучевая терапия в сочетании с лекарственной терапией (уровень 7)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26,76%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st19.094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ЗНО лимфоидной и кроветворной тканей, лекарственная терапия, взрослые (уровень 1)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79,86%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st19.095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ЗНО лимфоидной и кроветворной тканей, лекарственная терапия, взрослые (уров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ень 2)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79,86%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st19.096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ЗНО лимфоидной и кроветворной тканей, лекарственная терапия, взрослые (уровень 3)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79,86%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st19.097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(уровень 1)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32,82%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st19.098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(уровень 2)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52,81%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st19.099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(уровень 3)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62,16%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ЗНО лимфоидной и кроветворной тканей, лекарственная терапия с применением отдельных препаратов (по перечню),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взрослые (уровень 4)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6,34%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(уровень 5)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19,39%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(уровень 6)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29,64%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st19.122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Посттрансплантационный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период после пересадки костного мозга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62,44%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st19.125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57,99%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st19.126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37,81%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st19.127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ь 3)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20,99%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st19.128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29,00%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st19.129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ней), взрослые (уровень 5)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25,84%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st19.130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8,65%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st19.131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9,64%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st19.132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8)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8,30%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st19.133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8,25%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st19.134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5,81%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st19.135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ь 11)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6,36%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st19.136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3,72%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st19.137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2,34%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st19.138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ь 14)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2,11%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st19.139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1,59%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st19.140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ней), взрослые (уровень 16)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1,25%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st19.141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0,99%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st19.142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18)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0,75%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st19.143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ь 19)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0,56%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st20.010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Замена речевого процессора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0,74%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st21.009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органе зрения (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факоэмульсификация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с имплантацией ИОЛ)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14,38%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Экстракорпоральная мембранная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оксигенация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27,22%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st36.013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Проведение антимикробной терапии инфекций, вызванных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полирезистентными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микроорганизмами (уровень 1)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0,00%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st36.014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Проведение антимикробной терапии инфекций, вызванных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полирезистентными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микроорганизмами (уровень 2)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0,00%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st36.015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Проведение антимикробной терапии инфекций, вызванных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полирезистентными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микроорганизмами (уровень 3)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0,00%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st36.024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Радиойодтерапия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70,66%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st36.025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Проведение иммунизации против респираторно-синцитиальной вирусной инфекции (уровень 1)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5,85%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st36.026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Проведение иммунизации против респираторно-синцитиальной вирусной инфекции (уровень 2)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4,58%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st36.027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(инициация)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34,50%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st36.028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73,21%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st36.029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2)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55,98%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st36.030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ние с применением генно-инженерных биологических препаратов и селективных иммунодепрессантов (уровень 3)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46,89%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st36.031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4)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35,90%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st36.032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5)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28,65%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st36.033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6)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21,07%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st36.034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ние с применением генно-инженерных биологических препаратов и селективных иммунодепрессантов (уровень 7)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17,05%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st36.035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8)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14,57%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st36.036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9)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11,77%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st36.037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10)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10,39%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st36.038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ение с применением генно-инженерных биологических препаратов и селективных иммунодепрессантов (уровень 11)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8,43%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st36.039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12)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6,21%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st36.040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13)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4,29%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st36.041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14)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3,46%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st36.042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ние с применением генно-инженерных биологических препаратов и селективных иммунодепрессантов (уровень 15)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2,78%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st36.043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16)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1,84%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st36.044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17)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0,92%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st36.045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18)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0,85%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st36.046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ние с применением генно-инженерных биологических препаратов и селективных иммунодепрессантов (уровень 19)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0,44%</w:t>
            </w:r>
            <w:r>
              <w:rPr>
                <w:highlight w:val="white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st36.047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9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20)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0,21%</w:t>
            </w:r>
            <w:r>
              <w:rPr>
                <w:highlight w:val="white"/>
              </w:rPr>
            </w:r>
            <w:r/>
          </w:p>
        </w:tc>
      </w:tr>
    </w:tbl>
    <w:p>
      <w:pPr>
        <w:ind w:firstLine="709"/>
        <w:jc w:val="both"/>
        <w:rPr>
          <w:rFonts w:ascii="Times New Roman" w:hAnsi="Times New Roman" w:cs="Times New Roman" w:eastAsia="Times New Roman"/>
          <w:sz w:val="16"/>
          <w:szCs w:val="16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16"/>
          <w:szCs w:val="16"/>
          <w:highlight w:val="white"/>
        </w:rPr>
      </w:r>
      <w:r>
        <w:rPr>
          <w:highlight w:val="white"/>
        </w:rPr>
      </w:r>
      <w:r/>
    </w:p>
    <w:p>
      <w:pPr>
        <w:ind w:firstLine="56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3.2.6. Тарифы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на оплату законченных случаев лечения заболеваний в стационарных условиях с применением методов высокотехнологичной медицинской помощи в соответствии с приложением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№ 1 к Постановлению Правительства Российской Федерации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от 29.12.2022 № 2497 «О программе гос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ударственных гарантий бесплатного оказания гражданам медицинской помощи на 2023 год и последующий период 2024 и 2025 годов»:</w:t>
      </w:r>
      <w:r>
        <w:rPr>
          <w:highlight w:val="white"/>
        </w:rPr>
      </w:r>
      <w:r/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3974"/>
        <w:gridCol w:w="1701"/>
        <w:gridCol w:w="2268"/>
        <w:gridCol w:w="1985"/>
      </w:tblGrid>
      <w:tr>
        <w:trPr>
          <w:trHeight w:val="130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  <w:t xml:space="preserve">Наименование профиля ВМП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  <w:t xml:space="preserve">№ группы ВМП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  <w:t xml:space="preserve">Норматив финансовых затрат, руб.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  <w:t xml:space="preserve">Доля заработной платы в составе норматива фина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  <w:t xml:space="preserve">нсовых затрат, % 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Акушерство и гинекология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149 270,00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34%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Акушерство и гинекология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226 663,00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Гастроэнтерология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155 640,00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22%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Гематология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174 719,00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31%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Гематология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514 006,00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7%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Детская хирургия в период новорожденности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305 847,00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50%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Дерматовенерология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118 255,00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34%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Комбустиология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623 703,00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49%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Комбустиология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1 827 887,00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28%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Нейрохирургия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188 927,00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25%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Нейрохирургия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289 032,00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20%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Нейрохирургия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185 045,00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18%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Нейрохирургия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265 852,00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17%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Нейрохирургия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342 474,00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38%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Нейрохирургия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461 361,00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Неонатология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290 737,00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22%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Неонатология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590 590,00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31%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Онкология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220 860,00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27%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Онкология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116 510,00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55%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Онкология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157 802,00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37%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Онкология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449 414,00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23%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Онкология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83 834,00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38%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Онкология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189 795,00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36%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Онкология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252 718,00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35%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Оториноларингология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132 398,00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26%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Оториноларингология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78 623,00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20%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Оториноларингология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150 466,00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45%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Офтальмология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70 775,00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35%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Офтальмология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102 860,00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35%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Офтальмология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101 569,00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25%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Педиатрия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97 040,00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Педиатрия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200 897,00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23%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Педиатрия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115 261,00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34%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Педиатрия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199 272,00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22%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Педиатрия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198 387,00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Ревматология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154 450,00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36%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Сердечно-сосудистая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185 214,00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56%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Сердечно-сосудистая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214 756,00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50%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Сердечно-сосудистая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244 136,00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44%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Сердечно-сосудистая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40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137 762,00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54%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Сердечно-сосудистая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41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167 354,00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46%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Сердечно-сосудистая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42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209 573,00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34%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Сердечно-сосудистая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43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129 747,00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20%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Сердечно-сосудистая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44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154 258,00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17%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Сердечно-сосудистая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45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191 926,00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14%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Сердечно-сосудистая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46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273 416,00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10%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Сердечно-сосудистая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47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298 371,00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10%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Сердечно-сосудистая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48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327 854,00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Сердечно-сосудистая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49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162 154,00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17%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Сердечно-сосудистая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50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302 578,00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15%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Сердечно-сосудистая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51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240 444,00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38%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Сердечно-сосудистая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52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770 187,00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17%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Сердечно-сосудистая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53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415 101,00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52%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Торакальная 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54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167 250,00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18%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Торакальная 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55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291 572,00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15%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Травматология и ортопедия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56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156 563,00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25%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Травматология и ортопедия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57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319 018,00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33%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Травматология и ортопедия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58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185 111,00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23%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Травматология и ортопедия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59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245 582,00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45%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Травматология и ортопедия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60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396 727,00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Урология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61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110 511,00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Урология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62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162 790,00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32%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63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193 718,00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20%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64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208 916,00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27%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Челюстно-лицевая хирургия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65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144 051,00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32%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Эндокринология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66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216 961,00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17%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Эндокринология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67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119 595,00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32%</w:t>
            </w:r>
            <w:r>
              <w:rPr>
                <w:highlight w:val="white"/>
              </w:rPr>
            </w:r>
            <w:r/>
          </w:p>
        </w:tc>
      </w:tr>
    </w:tbl>
    <w:p>
      <w:pPr>
        <w:ind w:firstLine="56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3.2.7. Тариф 1 услуги по проведению гемодиализа (базовый тариф на оплату гемодиализа), код A18.05.002 –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6424,92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руб.;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     тариф 1 услуги по проведению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перитонеального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диализа (базовый тариф на оплату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перитонеального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диализа), код A18.30.001 –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5075,69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руб. </w:t>
      </w:r>
      <w:r>
        <w:rPr>
          <w:highlight w:val="white"/>
        </w:rPr>
      </w:r>
      <w:r/>
    </w:p>
    <w:p>
      <w:pPr>
        <w:ind w:firstLine="56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Тарифы на медицинские услуги по проведению гемодиализа и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перитонеального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диализа:</w:t>
      </w:r>
      <w:r>
        <w:rPr>
          <w:highlight w:val="white"/>
        </w:rPr>
      </w:r>
      <w:r/>
    </w:p>
    <w:tbl>
      <w:tblPr>
        <w:tblW w:w="964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"/>
        <w:gridCol w:w="1674"/>
        <w:gridCol w:w="2126"/>
        <w:gridCol w:w="1417"/>
        <w:gridCol w:w="1134"/>
        <w:gridCol w:w="1701"/>
        <w:gridCol w:w="1138"/>
      </w:tblGrid>
      <w:tr>
        <w:trPr>
          <w:jc w:val="center"/>
          <w:trHeight w:val="20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57" w:type="dxa"/>
            <w:vAlign w:val="center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rPr>
                <w:color w:val="000000"/>
                <w:sz w:val="22"/>
                <w:highlight w:val="white"/>
              </w:rPr>
            </w:pPr>
            <w:r>
              <w:rPr>
                <w:b/>
                <w:color w:val="000000" w:themeColor="text1"/>
                <w:sz w:val="22"/>
                <w:highlight w:val="white"/>
              </w:rPr>
              <w:t xml:space="preserve">№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674" w:type="dxa"/>
            <w:vAlign w:val="center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rPr>
                <w:color w:val="000000"/>
                <w:sz w:val="22"/>
                <w:highlight w:val="white"/>
              </w:rPr>
            </w:pPr>
            <w:r>
              <w:rPr>
                <w:b/>
                <w:color w:val="000000" w:themeColor="text1"/>
                <w:sz w:val="22"/>
                <w:highlight w:val="white"/>
              </w:rPr>
              <w:t xml:space="preserve">Код услуги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rPr>
                <w:color w:val="000000"/>
                <w:sz w:val="22"/>
                <w:highlight w:val="white"/>
              </w:rPr>
            </w:pPr>
            <w:r>
              <w:rPr>
                <w:b/>
                <w:color w:val="000000" w:themeColor="text1"/>
                <w:sz w:val="22"/>
                <w:highlight w:val="white"/>
              </w:rPr>
              <w:t xml:space="preserve">Наименование услуги 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rPr>
                <w:color w:val="000000"/>
                <w:sz w:val="22"/>
                <w:highlight w:val="white"/>
              </w:rPr>
            </w:pPr>
            <w:r>
              <w:rPr>
                <w:b/>
                <w:color w:val="000000" w:themeColor="text1"/>
                <w:sz w:val="22"/>
                <w:highlight w:val="white"/>
              </w:rPr>
              <w:t xml:space="preserve">Условия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rPr>
                <w:color w:val="000000"/>
                <w:sz w:val="22"/>
                <w:highlight w:val="white"/>
              </w:rPr>
            </w:pPr>
            <w:r>
              <w:rPr>
                <w:b/>
                <w:color w:val="000000" w:themeColor="text1"/>
                <w:sz w:val="22"/>
                <w:highlight w:val="white"/>
              </w:rPr>
              <w:t xml:space="preserve">оказания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rPr>
                <w:color w:val="000000"/>
                <w:sz w:val="22"/>
                <w:highlight w:val="white"/>
              </w:rPr>
            </w:pPr>
            <w:r>
              <w:rPr>
                <w:b/>
                <w:color w:val="000000" w:themeColor="text1"/>
                <w:sz w:val="22"/>
                <w:highlight w:val="white"/>
              </w:rPr>
              <w:t xml:space="preserve">Единица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rPr>
                <w:color w:val="000000"/>
                <w:sz w:val="22"/>
                <w:highlight w:val="white"/>
              </w:rPr>
            </w:pPr>
            <w:r>
              <w:rPr>
                <w:b/>
                <w:color w:val="000000" w:themeColor="text1"/>
                <w:sz w:val="22"/>
                <w:highlight w:val="white"/>
              </w:rPr>
              <w:t xml:space="preserve">оплаты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rPr>
                <w:color w:val="000000"/>
                <w:sz w:val="22"/>
                <w:highlight w:val="white"/>
              </w:rPr>
            </w:pPr>
            <w:r>
              <w:rPr>
                <w:b/>
                <w:color w:val="000000" w:themeColor="text1"/>
                <w:sz w:val="22"/>
                <w:highlight w:val="white"/>
              </w:rPr>
              <w:t xml:space="preserve">Коэффициент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rPr>
                <w:color w:val="000000"/>
                <w:sz w:val="22"/>
                <w:highlight w:val="white"/>
              </w:rPr>
            </w:pPr>
            <w:r>
              <w:rPr>
                <w:b/>
                <w:color w:val="000000" w:themeColor="text1"/>
                <w:sz w:val="22"/>
                <w:highlight w:val="white"/>
              </w:rPr>
              <w:t xml:space="preserve">относительной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rPr>
                <w:color w:val="000000"/>
                <w:sz w:val="22"/>
                <w:highlight w:val="white"/>
              </w:rPr>
            </w:pPr>
            <w:r>
              <w:rPr>
                <w:b/>
                <w:color w:val="000000" w:themeColor="text1"/>
                <w:sz w:val="22"/>
                <w:highlight w:val="white"/>
              </w:rPr>
              <w:t xml:space="preserve">затратоемкости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pStyle w:val="1101"/>
              <w:ind w:firstLine="0"/>
              <w:jc w:val="center"/>
              <w:rPr>
                <w:b/>
                <w:color w:val="000000"/>
                <w:sz w:val="22"/>
                <w:highlight w:val="white"/>
              </w:rPr>
            </w:pPr>
            <w:r>
              <w:rPr>
                <w:b/>
                <w:color w:val="000000" w:themeColor="text1"/>
                <w:sz w:val="22"/>
                <w:highlight w:val="white"/>
              </w:rPr>
              <w:t xml:space="preserve">Тариф, </w:t>
            </w:r>
            <w:r>
              <w:rPr>
                <w:b/>
                <w:color w:val="000000" w:themeColor="text1"/>
                <w:sz w:val="22"/>
                <w:highlight w:val="white"/>
              </w:rPr>
              <w:t xml:space="preserve">руб</w:t>
            </w:r>
            <w:r>
              <w:rPr>
                <w:highlight w:val="white"/>
              </w:rPr>
            </w:r>
            <w:r/>
          </w:p>
        </w:tc>
      </w:tr>
      <w:tr>
        <w:trPr>
          <w:jc w:val="center"/>
          <w:trHeight w:val="307"/>
        </w:trPr>
        <w:tc>
          <w:tcPr>
            <w:gridSpan w:val="7"/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647" w:type="dxa"/>
            <w:vAlign w:val="center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b/>
                <w:color w:val="000000" w:themeColor="text1"/>
                <w:sz w:val="22"/>
                <w:highlight w:val="white"/>
              </w:rPr>
              <w:t xml:space="preserve">Услуги гемодиализа</w:t>
            </w:r>
            <w:r>
              <w:rPr>
                <w:highlight w:val="white"/>
              </w:rPr>
            </w:r>
            <w:r/>
          </w:p>
        </w:tc>
      </w:tr>
      <w:tr>
        <w:trPr>
          <w:jc w:val="center"/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А18.05.002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Гемодиализ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стационарно,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дневной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стационар,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амбулаторно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szCs w:val="24"/>
                <w:highlight w:val="white"/>
              </w:rPr>
              <w:t xml:space="preserve">услуга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1,00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 w:themeColor="text1"/>
                <w:sz w:val="22"/>
                <w:highlight w:val="white"/>
              </w:rPr>
              <w:t xml:space="preserve">6 424,92</w:t>
            </w:r>
            <w:r>
              <w:rPr>
                <w:highlight w:val="white"/>
              </w:rPr>
            </w:r>
            <w:r/>
          </w:p>
        </w:tc>
      </w:tr>
      <w:tr>
        <w:trPr>
          <w:jc w:val="center"/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А18.05.002.002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Гемодиализ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интермиттирующий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низкопоточный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стационарно,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дневной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стационар,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амбулаторно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szCs w:val="24"/>
                <w:highlight w:val="white"/>
              </w:rPr>
              <w:t xml:space="preserve">услуга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1,00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 w:themeColor="text1"/>
                <w:sz w:val="22"/>
                <w:highlight w:val="white"/>
              </w:rPr>
              <w:t xml:space="preserve">6 424,92</w:t>
            </w:r>
            <w:r>
              <w:rPr>
                <w:highlight w:val="white"/>
              </w:rPr>
            </w:r>
            <w:r/>
          </w:p>
        </w:tc>
      </w:tr>
      <w:tr>
        <w:trPr>
          <w:jc w:val="center"/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А18.05.002.001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Гемодиализ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интермиттирующий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высокопоточный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стационарно,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дневной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стационар,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амбулаторно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szCs w:val="24"/>
                <w:highlight w:val="white"/>
              </w:rPr>
              <w:t xml:space="preserve">услуга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1,05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 w:themeColor="text1"/>
                <w:sz w:val="22"/>
                <w:highlight w:val="white"/>
              </w:rPr>
              <w:t xml:space="preserve">6 746,17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2"/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jc w:val="center"/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А18.05.011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Гемодиафильтрация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стационарно,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дневной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стационар,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амбулаторно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szCs w:val="24"/>
                <w:highlight w:val="white"/>
              </w:rPr>
              <w:t xml:space="preserve">услуга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1,08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6 938,91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jc w:val="center"/>
          <w:trHeight w:val="68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А18.05.004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Ультрафильтрация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крови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стационарно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услуга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0,92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 w:themeColor="text1"/>
                <w:sz w:val="22"/>
                <w:highlight w:val="white"/>
              </w:rPr>
              <w:t xml:space="preserve">5 910,93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2"/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jc w:val="center"/>
          <w:trHeight w:val="99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А18.05.002.003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Гемодиализ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интермиттирующий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продленный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стационарно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услуга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2,76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17 732,78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jc w:val="center"/>
          <w:trHeight w:val="55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А18.05.003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Гемофильтрация</w:t>
            </w:r>
            <w:r>
              <w:rPr>
                <w:color w:val="000000" w:themeColor="text1"/>
                <w:sz w:val="22"/>
                <w:highlight w:val="white"/>
              </w:rPr>
              <w:t xml:space="preserve"> крови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стационарно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услуга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2,88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18 503,77</w:t>
            </w:r>
            <w:r>
              <w:rPr>
                <w:highlight w:val="white"/>
              </w:rPr>
            </w:r>
            <w:r/>
          </w:p>
        </w:tc>
      </w:tr>
      <w:tr>
        <w:trPr>
          <w:jc w:val="center"/>
          <w:trHeight w:val="69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А18.05.004.001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Ультрафильтрация продленная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стационарно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szCs w:val="24"/>
                <w:highlight w:val="white"/>
              </w:rPr>
              <w:t xml:space="preserve">услуга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2,51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16 126,55</w:t>
            </w:r>
            <w:r>
              <w:rPr>
                <w:highlight w:val="white"/>
              </w:rPr>
            </w:r>
            <w:r/>
          </w:p>
        </w:tc>
      </w:tr>
      <w:tr>
        <w:trPr>
          <w:jc w:val="center"/>
          <w:trHeight w:val="69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А18.05.011.001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Гемодиафильтрация</w:t>
            </w:r>
            <w:r>
              <w:rPr>
                <w:color w:val="000000" w:themeColor="text1"/>
                <w:sz w:val="22"/>
                <w:highlight w:val="white"/>
              </w:rPr>
              <w:t xml:space="preserve"> продленная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стационарно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szCs w:val="24"/>
                <w:highlight w:val="white"/>
              </w:rPr>
              <w:t xml:space="preserve">услуга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3,01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19 339,01</w:t>
            </w:r>
            <w:r>
              <w:rPr>
                <w:highlight w:val="white"/>
              </w:rPr>
            </w:r>
            <w:r/>
          </w:p>
        </w:tc>
      </w:tr>
      <w:tr>
        <w:trPr>
          <w:jc w:val="center"/>
          <w:trHeight w:val="69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А18.05.002.005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Гемодиализ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продолжительный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стационарно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сутки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5,23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rPr>
                <w:color w:val="000000"/>
                <w:sz w:val="22"/>
                <w:highlight w:val="whit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 w:themeColor="text1"/>
                <w:sz w:val="22"/>
                <w:highlight w:val="white"/>
              </w:rPr>
              <w:t xml:space="preserve">33 602,33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rPr>
                <w:color w:val="000000"/>
                <w:sz w:val="22"/>
                <w:highlight w:val="whit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/>
                <w:sz w:val="22"/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jc w:val="center"/>
          <w:trHeight w:val="60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А18.05.003.002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Гемофильтрация</w:t>
            </w:r>
            <w:r>
              <w:rPr>
                <w:color w:val="000000" w:themeColor="text1"/>
                <w:sz w:val="22"/>
                <w:highlight w:val="white"/>
              </w:rPr>
              <w:t xml:space="preserve"> крови </w:t>
            </w:r>
            <w:r>
              <w:rPr>
                <w:color w:val="000000" w:themeColor="text1"/>
                <w:sz w:val="22"/>
                <w:highlight w:val="white"/>
              </w:rPr>
              <w:t xml:space="preserve">продолжительная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стационарно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сутки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5,48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35 208,56</w:t>
            </w:r>
            <w:r>
              <w:rPr>
                <w:highlight w:val="white"/>
              </w:rPr>
            </w:r>
            <w:r/>
          </w:p>
        </w:tc>
      </w:tr>
      <w:tr>
        <w:trPr>
          <w:jc w:val="center"/>
          <w:trHeight w:val="70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1101"/>
              <w:ind w:right="60"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12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А18.05.011.002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Гемодиафильтрация</w:t>
            </w:r>
            <w:r>
              <w:rPr>
                <w:color w:val="000000" w:themeColor="text1"/>
                <w:sz w:val="22"/>
                <w:highlight w:val="white"/>
              </w:rPr>
              <w:t xml:space="preserve"> продолжительная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стационарно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сутки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5,73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36 814,79</w:t>
            </w:r>
            <w:r>
              <w:rPr>
                <w:highlight w:val="white"/>
              </w:rPr>
            </w:r>
            <w:r/>
          </w:p>
        </w:tc>
      </w:tr>
      <w:tr>
        <w:trPr>
          <w:jc w:val="center"/>
          <w:trHeight w:val="350"/>
        </w:trPr>
        <w:tc>
          <w:tcPr>
            <w:gridSpan w:val="7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7" w:type="dxa"/>
            <w:vAlign w:val="center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b/>
                <w:color w:val="000000" w:themeColor="text1"/>
                <w:sz w:val="22"/>
                <w:highlight w:val="white"/>
              </w:rPr>
              <w:t xml:space="preserve">Услуги </w:t>
            </w:r>
            <w:r>
              <w:rPr>
                <w:b/>
                <w:color w:val="000000" w:themeColor="text1"/>
                <w:sz w:val="22"/>
                <w:highlight w:val="white"/>
              </w:rPr>
              <w:t xml:space="preserve">перитонеального</w:t>
            </w:r>
            <w:r>
              <w:rPr>
                <w:b/>
                <w:color w:val="000000" w:themeColor="text1"/>
                <w:sz w:val="22"/>
                <w:highlight w:val="white"/>
              </w:rPr>
              <w:t xml:space="preserve"> диализа</w:t>
            </w:r>
            <w:r>
              <w:rPr>
                <w:highlight w:val="white"/>
              </w:rPr>
            </w:r>
            <w:r/>
          </w:p>
        </w:tc>
      </w:tr>
      <w:tr>
        <w:trPr>
          <w:jc w:val="center"/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1101"/>
              <w:ind w:right="60"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13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А18.30.001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Перитонеальный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диализ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стационарно,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дневной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стационар,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амбулаторно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день обмена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1,00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5 075,69</w:t>
            </w:r>
            <w:r>
              <w:rPr>
                <w:highlight w:val="white"/>
              </w:rPr>
            </w:r>
            <w:r/>
          </w:p>
        </w:tc>
      </w:tr>
      <w:tr>
        <w:trPr>
          <w:jc w:val="center"/>
          <w:trHeight w:val="69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1101"/>
              <w:ind w:right="60"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14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А18.30.001.001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Перитонеальный</w:t>
            </w:r>
            <w:r>
              <w:rPr>
                <w:color w:val="000000" w:themeColor="text1"/>
                <w:sz w:val="22"/>
                <w:highlight w:val="white"/>
              </w:rPr>
              <w:t xml:space="preserve"> диализ проточный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стационарно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день обмена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4,92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24 972,39</w:t>
            </w:r>
            <w:r>
              <w:rPr>
                <w:highlight w:val="white"/>
              </w:rPr>
            </w:r>
            <w:r/>
          </w:p>
        </w:tc>
      </w:tr>
      <w:tr>
        <w:trPr>
          <w:jc w:val="center"/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1101"/>
              <w:ind w:right="60"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15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А18.30.001.002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Перитонеальный</w:t>
            </w:r>
            <w:r>
              <w:rPr>
                <w:color w:val="000000" w:themeColor="text1"/>
                <w:sz w:val="22"/>
                <w:highlight w:val="white"/>
              </w:rPr>
              <w:t xml:space="preserve"> диализ с использованием автоматизированных технологий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стационарно,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дневной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стационар,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амбулаторно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день обмена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1,24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6 293,86</w:t>
            </w:r>
            <w:r>
              <w:rPr>
                <w:highlight w:val="white"/>
              </w:rPr>
            </w:r>
            <w:r/>
          </w:p>
        </w:tc>
      </w:tr>
      <w:tr>
        <w:trPr>
          <w:jc w:val="center"/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1101"/>
              <w:ind w:right="60"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16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А18.30.001.003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101"/>
              <w:ind w:firstLine="0"/>
              <w:jc w:val="left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Перитонеальный</w:t>
            </w:r>
            <w:r>
              <w:rPr>
                <w:color w:val="000000" w:themeColor="text1"/>
                <w:sz w:val="22"/>
                <w:highlight w:val="white"/>
              </w:rPr>
              <w:t xml:space="preserve"> диализ при нарушении ультрафильтрации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стационарно,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дневной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стационар,</w:t>
            </w:r>
            <w:r>
              <w:rPr>
                <w:highlight w:val="white"/>
              </w:rPr>
            </w:r>
            <w:r/>
          </w:p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амбулаторно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день обмена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shd w:val="clear" w:color="auto" w:fill="auto"/>
              <w:tabs>
                <w:tab w:val="left" w:pos="426" w:leader="none"/>
              </w:tabs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1,09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1101"/>
              <w:ind w:firstLine="0"/>
              <w:jc w:val="center"/>
              <w:rPr>
                <w:color w:val="000000"/>
                <w:sz w:val="22"/>
                <w:highlight w:val="white"/>
              </w:rPr>
            </w:pPr>
            <w:r>
              <w:rPr>
                <w:color w:val="000000" w:themeColor="text1"/>
                <w:sz w:val="22"/>
                <w:highlight w:val="white"/>
              </w:rPr>
              <w:t xml:space="preserve">5 532,50</w:t>
            </w:r>
            <w:r>
              <w:rPr>
                <w:highlight w:val="white"/>
              </w:rPr>
            </w:r>
            <w:r/>
          </w:p>
        </w:tc>
      </w:tr>
    </w:tbl>
    <w:p>
      <w:pPr>
        <w:ind w:firstLine="56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56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right="-5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3.2.8. Порядок оплаты прерванных случаев оказания медицинской помощи.</w:t>
      </w:r>
      <w:r>
        <w:rPr>
          <w:highlight w:val="white"/>
        </w:rPr>
      </w:r>
      <w:r/>
    </w:p>
    <w:p>
      <w:pPr>
        <w:ind w:right="-57" w:firstLine="709"/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 соответствии с Постановлением Правительства Российской Федерации от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29.12.2022 № 2497 «О программе государственных гарантий бесплатного оказания гражданам медицинской помощи на 2023 год и последующий период 2024 и 2025 годов» к прерванным случаям относят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ся: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1. случаи прерывания лечения по медицинским показаниям;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2. случаи лечения при переводе пациента из одного отделения медицинской организации в другое;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 случаи изменения условий оказания медицинской помощи (перевода пациента из стационарных условий в у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словия дневного стационара);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4. случаи перевода пациента в другую медицинскую организацию;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5. случаи лечения при преждевременной выписке пациента из медицинской организации,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обусловленной его письменным отказом от дальнейшего лечения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6. случаи лечения, закончившиеся летальным исходом;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7. 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8. законченные случаи л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ечения (не являющиеся прерванными по основаниям 1-7) длительностью 3 дня и менее по КСГ, не включенным в перечень КСГ, для которых оптимальным сроком лечения является период менее 3 дней включительно;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9. 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случаи медицинской реабилитации по КСГ </w:t>
      </w:r>
      <w:r>
        <w:rPr>
          <w:rFonts w:ascii="Times New Roman" w:hAnsi="Times New Roman" w:cs="Times New Roman"/>
          <w:color w:val="000000" w:themeColor="text1"/>
          <w:sz w:val="28"/>
          <w:highlight w:val="white"/>
          <w:lang w:val="en-US"/>
        </w:rPr>
        <w:t xml:space="preserve">st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37.002,</w:t>
      </w:r>
      <w:r>
        <w:rPr>
          <w:color w:val="000000" w:themeColor="text1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highlight w:val="white"/>
          <w:lang w:val="en-US"/>
        </w:rPr>
        <w:t xml:space="preserve">st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3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7.003, </w:t>
      </w:r>
      <w:r>
        <w:rPr>
          <w:rFonts w:ascii="Times New Roman" w:hAnsi="Times New Roman" w:cs="Times New Roman"/>
          <w:color w:val="000000" w:themeColor="text1"/>
          <w:sz w:val="28"/>
          <w:highlight w:val="white"/>
          <w:lang w:val="en-US"/>
        </w:rPr>
        <w:t xml:space="preserve">st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37.006,</w:t>
      </w:r>
      <w:r>
        <w:rPr>
          <w:color w:val="000000" w:themeColor="text1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highlight w:val="white"/>
          <w:lang w:val="en-US"/>
        </w:rPr>
        <w:t xml:space="preserve">st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37.007, </w:t>
      </w:r>
      <w:r>
        <w:rPr>
          <w:rFonts w:ascii="Times New Roman" w:hAnsi="Times New Roman" w:cs="Times New Roman"/>
          <w:color w:val="000000" w:themeColor="text1"/>
          <w:sz w:val="28"/>
          <w:highlight w:val="white"/>
          <w:lang w:val="en-US"/>
        </w:rPr>
        <w:t xml:space="preserve">st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37.024, </w:t>
      </w:r>
      <w:r>
        <w:rPr>
          <w:rFonts w:ascii="Times New Roman" w:hAnsi="Times New Roman" w:cs="Times New Roman"/>
          <w:color w:val="000000" w:themeColor="text1"/>
          <w:sz w:val="28"/>
          <w:highlight w:val="white"/>
          <w:lang w:val="en-US"/>
        </w:rPr>
        <w:t xml:space="preserve">st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37.025, st37.026 с длительностью лечения менее количества дней, определенных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Постановлением Правительства Российской Федерации от 29.12.2022 № 2497 «О программе государственных гарантий бесплатного оказания гражданам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медицинской помощи на 2023 год и последующий период 2024 и 2025 годов»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 и приложением 6 к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методическим рекомендации по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способам оплаты медицинской помощи за счет средств обязательного медицинского страхования.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В случае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,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если перевод пациента из одного отдел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ения медицинской организации в другое обусловлен возникновением (наличием) нового заболевания или состояния, относящегося к тому же классу МКБ-10, </w:t>
      </w:r>
      <w:r>
        <w:rPr>
          <w:rFonts w:ascii="Times New Roman" w:hAnsi="Times New Roman"/>
          <w:color w:val="000000" w:themeColor="text1"/>
          <w:sz w:val="28"/>
          <w:highlight w:val="white"/>
        </w:rPr>
        <w:br/>
        <w:t xml:space="preserve">что и диагноз основного заболевания, и (или) являющегося следствием закономерного прогрессирования основного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двум КСГ, оплата производится в рамках одного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случая лечения по КСГ с наибольшим размером оплаты, а отнесе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ние такого случая к прерванным по основанию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 перевода пациента из одного отделения медицинской организации в другое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не производится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При оплате случаев лечения, подлежащих оплате по 2 КСГ, случай до перевода не может считаться прерванным по основаниям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прерв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анности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2-4, если он подлежит оплате по 2 КСГ по следующим основаниям: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</w:rPr>
        <w:t xml:space="preserve">- проведение медицинской реабилитации пациента после завершения лечения в той же медицинской организации по поводу заболевания, </w:t>
      </w:r>
      <w:r>
        <w:rPr>
          <w:rFonts w:ascii="Times New Roman" w:hAnsi="Times New Roman" w:cs="Times New Roman" w:eastAsia="Times New Roman"/>
          <w:sz w:val="28"/>
          <w:highlight w:val="white"/>
        </w:rPr>
        <w:br/>
        <w:t xml:space="preserve">по которому осуществлялось лечение;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</w:rPr>
        <w:t xml:space="preserve">- оказание медицинск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ой помощи, связанной с установкой, заменой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порт-системы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</w:rPr>
        <w:t xml:space="preserve">- этапное хирургическое лечение при злокачественных новообразованиях, не предусматривающее выписку пациента из стационара;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</w:rPr>
        <w:t xml:space="preserve">- проведение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реинфузии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аутокрови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,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баллонной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 внутриаортальной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контрпульсации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 или экстракорпоральной мембранной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оксигенации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 на фоне леч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ения основного заболевания;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</w:rPr>
        <w:t xml:space="preserve">- дородовая госпитализация пациентки в отделение патологии беременности в случае пребывания в отделении патологии беременности </w:t>
      </w:r>
      <w:r>
        <w:rPr>
          <w:rFonts w:ascii="Times New Roman" w:hAnsi="Times New Roman" w:cs="Times New Roman" w:eastAsia="Times New Roman"/>
          <w:sz w:val="28"/>
          <w:highlight w:val="white"/>
        </w:rPr>
        <w:br/>
        <w:t xml:space="preserve">в течение 6 дней и более с последующим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родоразрешением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</w:rPr>
        <w:t xml:space="preserve">- наличие у пациента тяжелой сопутствующей п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атологии, требующей </w:t>
      </w:r>
      <w:r>
        <w:rPr>
          <w:rFonts w:ascii="Times New Roman" w:hAnsi="Times New Roman" w:cs="Times New Roman" w:eastAsia="Times New Roman"/>
          <w:sz w:val="28"/>
          <w:highlight w:val="white"/>
        </w:rPr>
        <w:br/>
        <w:t xml:space="preserve">в ходе оказания медицинской помощи в период госпитализации имплантации в организм пациента медицинского изделия;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</w:rPr>
        <w:t xml:space="preserve">- проведение иммунизации против респираторно-синцитиальной вирусной инфекции в период госпитализации по поводу лечения нар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ушений, возникающих в перинатальном периоде, являющихся показанием </w:t>
      </w:r>
      <w:r>
        <w:rPr>
          <w:rFonts w:ascii="Times New Roman" w:hAnsi="Times New Roman" w:cs="Times New Roman" w:eastAsia="Times New Roman"/>
          <w:sz w:val="28"/>
          <w:highlight w:val="white"/>
        </w:rPr>
        <w:br/>
        <w:t xml:space="preserve">к иммунизации;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</w:rPr>
        <w:t xml:space="preserve">- проведение антимикробной терапии инфекций, вызванных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полирезистентными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 микроорганизмами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eastAsia="en-US"/>
        </w:rPr>
        <w:t xml:space="preserve">Перечень КСГ с оптимальной длительностью лечения до 3 дней включительно:</w:t>
      </w:r>
      <w:r>
        <w:rPr>
          <w:highlight w:val="white"/>
        </w:rPr>
      </w:r>
      <w:r/>
    </w:p>
    <w:tbl>
      <w:tblPr>
        <w:tblW w:w="10043" w:type="dxa"/>
        <w:tblInd w:w="93" w:type="dxa"/>
        <w:tblLook w:val="04A0" w:firstRow="1" w:lastRow="0" w:firstColumn="1" w:lastColumn="0" w:noHBand="0" w:noVBand="1"/>
      </w:tblPr>
      <w:tblGrid>
        <w:gridCol w:w="1149"/>
        <w:gridCol w:w="8894"/>
      </w:tblGrid>
      <w:tr>
        <w:trPr>
          <w:trHeight w:val="31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  <w:lang w:val="en-US"/>
              </w:rPr>
              <w:t xml:space="preserve">№ КСГ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  <w:lang w:val="en-US"/>
              </w:rPr>
              <w:t xml:space="preserve">Наименование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  <w:lang w:val="en-US"/>
              </w:rPr>
              <w:t xml:space="preserve"> КСГ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st02.001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Осложнения, связанные с беременностью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st02.002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Беременность, закончившаяся абортивным исходом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st02.003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Родоразрешение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st02.004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Кесарево сечение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st02.010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женских половых органах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st02.011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женских половых органах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st03.002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Ангионевротический отек, анафилактический шок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st05.008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доброкачественных заболеваниях крови и пузырном заносе</w:t>
            </w:r>
            <w:r>
              <w:rPr>
                <w:highlight w:val="white"/>
              </w:rPr>
            </w:r>
            <w:r/>
          </w:p>
        </w:tc>
      </w:tr>
      <w:tr>
        <w:trPr>
          <w:trHeight w:val="6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st08.001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дети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st08.002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остром лейкозе, дети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st08.003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других злокачественных новообразования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х лимфоидной и кроветворной тканей, дети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st12.010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Респираторные инфекции верхних дыхательных путей с осложнениями, взрослые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st12.011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Респираторные инфекции верхних дыхательных путей, дети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st14.002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кишечнике и анальной области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st15.008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Неврологические заболевания, лечение с применением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ботулотоксина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st15.009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Неврологические заболевания, лечение с применением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ботулотоксина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st16.005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Сотрясение головного мозга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st19.007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при злокачественных новообразованиях почки и мочевыделительной системы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st19.038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Установка, замена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порт-системы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(катетера) для лекарственной терапии злокачественных новообразований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st19.082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Лучевая терапия (уровень 8)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st19.090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ЗНО лимфоидной и кроветворной тканей без специального противоопухолевого лечения (уровень 1) &lt;***&gt;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st19.094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ЗНО лимфоидной и кроветворной тканей, лекарственная терапия, взрослые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st19.097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ЗНО лимфоидной и кроветворной тканей, лекарственная тер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апия с применением отдельных препаратов (по перечню), взрослые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st19.125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чественных новообразованиях (кроме лимфоидной и кроветворной тканей), взрослые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st19.126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st19.127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st19.128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t19.129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st19.130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нь 6)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st19.131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st19.132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е (уровень 8)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st19.133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st19.134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st19.135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st19.136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st19.137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овень 13)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st19.138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st19.139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st19.140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st19.141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</w:t>
            </w:r>
            <w:r>
              <w:rPr>
                <w:highlight w:val="white"/>
              </w:rPr>
            </w:r>
            <w:r/>
          </w:p>
        </w:tc>
      </w:tr>
      <w:tr>
        <w:trPr>
          <w:trHeight w:val="6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st19.142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18)</w:t>
            </w:r>
            <w:r>
              <w:rPr>
                <w:highlight w:val="white"/>
              </w:rPr>
            </w:r>
            <w:r/>
          </w:p>
        </w:tc>
      </w:tr>
      <w:tr>
        <w:trPr>
          <w:trHeight w:val="6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st19.143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19)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st20.005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органе слуха, придаточных пазухах носа и верхних дыхательных путях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st20.006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органе слуха, придаточных пазухах носа и верхних дыхательных путях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st20.010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Замена речевого процессора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st21.001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органе зрения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st21.002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органе зрения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st21.003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органе зрения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st21.004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органе зрения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st21.005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органе зрения (уровень 5)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st21.006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органе зрения (уровень 6)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st21.009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органе зрения (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факоэмульсификация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с имплантацией ИОЛ)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st25.004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Диагностическое обследование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сердечно-сосудистой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системы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st27.012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Отравления и другие воздействия внешних причин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st30.006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мужских половых органах, взрослые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st30.010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почке и мочевыделительной системе, взрослые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st30.011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почке и мочевыделительной системе, взрослые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st30.012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почке и мочевыделите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льной системе, взрослые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st30.014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почке и мочевыделительной системе, взрослые (уровень 5)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st31.017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Доброкачественные новообразования, новообразования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in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situ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кожи, жировой ткани и другие болезни кожи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st32.002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желчном пузыре и желчевыводящих путях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st32.012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Аппендэктомия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, взрослые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st32.016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Другие операции на органах брюшной полости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st34.002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органах полости рта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Комплексное лечение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с применением препаратов иммуноглобулина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st36.007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Установка, замена, заправка помп для лекарственных препаратов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Реинфузия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аутокрови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Баллонная внутриаортальная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контрпульсация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Экстракорпоральная мембранная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оксигенация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st36.024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Радиойодтерапия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st36.025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Проведение иммунизации против респираторно-синцитиальной вирусной инфекции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st36.026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Проведение иммунизации против респираторно-синцитиальной вирусной инфекции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st36.028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st36.029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st36.030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ием генно-инженерных биологических препаратов и селективных иммунодепрессантов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st36.031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st36.032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ых биологических препаратов и селективных иммунодепрессантов (уровень 5)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st36.033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6)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st36.034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ием генно-инженерных биологических препаратов и селективных иммунодепрессантов (уровень 7)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st36.035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8)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st36.036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ых биологических препаратов и селективных иммунодепрессантов (уровень 9)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st36.037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10)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st36.038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препаратов и селективных иммунодепрессантов (уровень 11)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st36.039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st36.040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ерных биологических препаратов и селективных иммунодепрессантов (уровень 13)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st36.041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st36.042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ких препаратов и селективных иммунодепрессантов (уровень 15)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st36.043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16)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st36.044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селективных иммунодепрессантов (уровень 17)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st36.045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18)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st36.046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нерных биологических препаратов и селективных иммунодепрессантов (уровень 19)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st36.047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20)</w:t>
            </w:r>
            <w:r>
              <w:rPr>
                <w:highlight w:val="white"/>
              </w:rPr>
            </w:r>
            <w:r/>
          </w:p>
        </w:tc>
      </w:tr>
    </w:tbl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&lt;*&gt; При условии соблюдения режима введения лекарственных 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препаратов согласно инструкциям по применению лекарственных препаратов для медицинского применения.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Законченный случай оказания медицинской помощи 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по данным КСГ не может быть отнесен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к прерванным случаям по основаниям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, связанным с длительностью лечения,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и оплачивается в полном объеме независимо от длительности лечения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. При этом в случае наличия оснований 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прерванности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, не связанных с длительностью лечения, случай оказания медицинской помощи оплачивается как прерванный на общих основаниях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Размеры оплаты 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лучаев оказания медицинской помощи, являющихся прерванными, определяется следующим образом.</w:t>
      </w:r>
      <w:r>
        <w:rPr>
          <w:highlight w:val="white"/>
        </w:rPr>
      </w:r>
      <w:r/>
    </w:p>
    <w:p>
      <w:pPr>
        <w:ind w:right="-6" w:firstLine="539"/>
        <w:jc w:val="both"/>
        <w:tabs>
          <w:tab w:val="left" w:pos="9920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 случае если пациенту была выполнена хирургическая операция и (или) проведена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тромболитическая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терапия, являющиеся классификационными критериями отнесения данных случаев лечения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конкретным КСГ, случай оплачивается в размере:</w:t>
      </w:r>
      <w:r>
        <w:rPr>
          <w:highlight w:val="white"/>
        </w:rPr>
      </w:r>
      <w:r/>
    </w:p>
    <w:p>
      <w:pPr>
        <w:numPr>
          <w:ilvl w:val="0"/>
          <w:numId w:val="5"/>
        </w:numPr>
        <w:ind w:right="-6" w:firstLine="540"/>
        <w:jc w:val="both"/>
        <w:widowControl w:val="off"/>
        <w:tabs>
          <w:tab w:val="left" w:pos="1287" w:leader="none"/>
          <w:tab w:val="left" w:pos="9920" w:leader="none"/>
        </w:tabs>
        <w:rPr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при длительности лечения 3 д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ня и менее – 80% от стоимости КСГ;</w:t>
      </w:r>
      <w:r>
        <w:rPr>
          <w:highlight w:val="white"/>
        </w:rPr>
      </w:r>
      <w:r/>
    </w:p>
    <w:p>
      <w:pPr>
        <w:numPr>
          <w:ilvl w:val="0"/>
          <w:numId w:val="5"/>
        </w:numPr>
        <w:ind w:right="-6" w:firstLine="540"/>
        <w:jc w:val="both"/>
        <w:widowControl w:val="off"/>
        <w:tabs>
          <w:tab w:val="left" w:pos="1268" w:leader="none"/>
          <w:tab w:val="left" w:pos="9920" w:leader="none"/>
        </w:tabs>
        <w:rPr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при длительности лечения более 3-х дней – 90% от стоимости КСГ.</w:t>
      </w:r>
      <w:r>
        <w:rPr>
          <w:highlight w:val="white"/>
        </w:rPr>
      </w:r>
      <w:r/>
    </w:p>
    <w:p>
      <w:pPr>
        <w:ind w:right="-6" w:firstLine="539"/>
        <w:jc w:val="both"/>
        <w:tabs>
          <w:tab w:val="left" w:pos="9920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Если хирургическое лечение и (или)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тромболитическая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терапия не проводились, случай оплачивается в размере:</w:t>
      </w:r>
      <w:r>
        <w:rPr>
          <w:highlight w:val="white"/>
        </w:rPr>
      </w:r>
      <w:r/>
    </w:p>
    <w:p>
      <w:pPr>
        <w:numPr>
          <w:ilvl w:val="0"/>
          <w:numId w:val="5"/>
        </w:numPr>
        <w:ind w:right="-6" w:firstLine="540"/>
        <w:jc w:val="both"/>
        <w:widowControl w:val="off"/>
        <w:tabs>
          <w:tab w:val="left" w:pos="1287" w:leader="none"/>
          <w:tab w:val="left" w:pos="9920" w:leader="none"/>
        </w:tabs>
        <w:rPr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при длительности лечения 3 дня и менее – 50% от ст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оимости КСГ;</w:t>
      </w:r>
      <w:r>
        <w:rPr>
          <w:highlight w:val="white"/>
        </w:rPr>
      </w:r>
      <w:r/>
    </w:p>
    <w:p>
      <w:pPr>
        <w:numPr>
          <w:ilvl w:val="0"/>
          <w:numId w:val="5"/>
        </w:numPr>
        <w:ind w:right="-6" w:firstLine="540"/>
        <w:jc w:val="both"/>
        <w:widowControl w:val="off"/>
        <w:tabs>
          <w:tab w:val="left" w:pos="1268" w:leader="none"/>
          <w:tab w:val="left" w:pos="9920" w:leader="none"/>
        </w:tabs>
        <w:rPr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при длительности лечения более 3-х дней – 80% от стоимости КСГ.</w:t>
      </w:r>
      <w:r>
        <w:rPr>
          <w:highlight w:val="white"/>
        </w:rPr>
      </w:r>
      <w:r/>
    </w:p>
    <w:p>
      <w:pPr>
        <w:ind w:left="562" w:right="-6"/>
        <w:jc w:val="both"/>
        <w:widowControl w:val="off"/>
        <w:tabs>
          <w:tab w:val="left" w:pos="1268" w:leader="none"/>
          <w:tab w:val="left" w:pos="9920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Перечень КСГ, 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которые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 предполагают хирургическое лечение или 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тромболитическую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 терапию</w:t>
      </w:r>
      <w:r>
        <w:rPr>
          <w:highlight w:val="white"/>
        </w:rPr>
      </w:r>
      <w:r/>
    </w:p>
    <w:tbl>
      <w:tblPr>
        <w:tblW w:w="10004" w:type="dxa"/>
        <w:tblInd w:w="93" w:type="dxa"/>
        <w:tblLook w:val="04A0" w:firstRow="1" w:lastRow="0" w:firstColumn="1" w:lastColumn="0" w:noHBand="0" w:noVBand="1"/>
      </w:tblPr>
      <w:tblGrid>
        <w:gridCol w:w="968"/>
        <w:gridCol w:w="9043"/>
      </w:tblGrid>
      <w:tr>
        <w:trPr>
          <w:trHeight w:val="58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№ КСГ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Наименование КСГ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st02.003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Родоразрешение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st02.004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Кесарево сечение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st02.010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женских половых органах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st02.011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женских половых органах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st02.012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женских половых органах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st02.013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женских половых органах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st02.014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Слинговые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операции при недержании мочи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st09.001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мужских половых органах, дети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st09.002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мужских половых органах, дети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st09.003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мужских половых органах, дети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st09.004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муж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ских половых органах, дети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st09.005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почке и мочевыделительной системе, дети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st09.006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почке и мочевыделительной системе, дети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st09.007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почке и мочевыделительной системе, дети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st09.008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почке и мочевыделительной системе, дети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st09.009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почке и мочевыделительной системе, дети (уровень 5)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st09.010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почке и мочевыделитель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ной системе, дети (уровень 6)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st10.001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Детская хирургия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st10.002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Детская хирургия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st10.003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Аппендэктомия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, дети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st10.004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Аппендэктомия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, дети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st10.005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по поводу грыж, дети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st10.006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по поводу грыж, дети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st10.007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по поводу грыж, дети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st13.002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Нестабильная стенокардия, инфаркт миокарда, легочная эмболия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st13.005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Нарушения ритма и проводимости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st13.007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Эндокардит, миокардит, перикардит,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кардиомиопатии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st13.008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Инфаркт миокарда, легочная эмболия, лечение с применением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тромболитической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терапии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st13.009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Инфаркт миокарда, легочная эмболия, лечение с применением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тромболитической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тера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пии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st13.010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Инфаркт миокарда, легочная эмболия, лечение с применением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тромболитической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терапии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st14.001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кишечнике и анальной области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st14.002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кишечнике и анальной области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st14.003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кишечнике и анальной области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st15.015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Инфаркт мозга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st15.016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Инфаркт мозга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st16.007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центральной нервной системе и головном мозге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st16.008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центральной нервной системе и головном мозге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st16.009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периферической нервной системе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st16.010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периферической нервной системе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st16.011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периферической нервной системе (уро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st18.002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Формирование, имплантация, реконструкция, удаление, смена доступа для диализа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женских половых органах при злокачественных новообразованиях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женских половых органах при злокачественных новообразованиях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женских половых органах при злокачественных новообразованиях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кишечнике и анальной области при злокачественных новоо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бразованиях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кишечнике и анальной области при злокачественных новообразованиях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st19.006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при злокачественных новообразованиях почки и мочевыделительной системы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st19.007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при злокаче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ственных новообразованиях почки и мочевыделительной системы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st19.008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при злокачественных новообразованиях почки и мочевыделительной системы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st19.009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при злокачественных новообразованиях кожи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st19.010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при злокачественных новообразованиях кожи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st19.011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при злокачественных новообразованиях кожи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st19.012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при злокачественном новообразовании щитовидной железы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st19.013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при злокачественном новообразовании щитовидной железы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st19.014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Мастэктомия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, другие операции при злокачественном новообразовании молочной железы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st19.015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Мастэктомия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, другие операции при злокачественном новообразовании молочной железы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st19.016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при злокачественном новообразовании желчного пузыря, желчных протоков и поджелудочной железы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st19.017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при злокачественном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новообразовании желчного пузыря, желчных протоков и поджелудочной железы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st19.018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при злокачественном новообразовании пищевода, желудка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st19.019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при злокачественном новообразовании пищевода, желудка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st19.020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при злокачественном новообразовании пищевода, желудка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st19.021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Другие операции при злокачественном новообразовании брюшной полости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st19.022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органе слуха, придаточных пазухах носа и верхних дыхательных путях при з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локачественных новообразованиях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st19.023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нижних дыхательных путях и легочной ткани при злокачественных новообразованиях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st19.024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нижних дыхательных путях и легочной ткани при злокачественных новообразованиях (уровень 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st19.025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при злокачественных новообразованиях мужских половых органов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st19.026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при злокачественных новообразованиях мужских половых органов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st19.123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Прочие операции при ЗНО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st19.124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Прочие операции при ЗНО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st19.038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Установка, замена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порт-системы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(катетера) для лекарственной терапии злокачественных новообразований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st19.104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Эвисцерация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малого таза при лучевых повреждениях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st20.005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органе слуха, придаточных пазухах носа и верхних дыхательных путях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st20.006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органе слуха, придаточных пазухах носа и верхних дыхательных путях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st20.007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органе слуха, придаточных пазухах носа и верхних дыхательных путях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st20.008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органе слуха, придаточных пазухах носа и верхних дыхательных путях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st20.009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органе слуха, придаточных пазухах носа и в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ерхних дыхательных путях (уровень 5)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st20.010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Замена речевого процессора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st21.001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органе зрения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st21.002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органе зрения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st21.003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органе зрения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st21.004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органе зрения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st21.005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органе зрения (уровень 5)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st21.006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органе зрения (уровень 6)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st21.009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органе зрения (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факоэмульсификация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с имплантацией ИОЛ)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st24.004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Ревматические болезни сердца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st25.004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Диагностическое обследование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сердечно-сосудистой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системы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st25.005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сердце и коронарных сосудах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st25.006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сердце и коронарных сосудах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st25.007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сердце и коронарных сосудах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st25.008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сосудах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st25.009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сосудах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st25.010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сосудах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st25.011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сосудах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st25.012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сосудах (уровень 5)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st27.007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Стенокардия (кроме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нестабильной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), хроническая ишемическая болезнь сердца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st27.009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Другие болезни сердца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st28.002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нижних дыхательных путях и легочной ткани, органах средостения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st28.003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нижних дыхательных путях и легочной ткани, органах средостения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st28.004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нижних дыхательных путях и легочной ткани, органах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средостения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st28.005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нижних дыхательных путях и легочной ткани, органах средостения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st29.007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Тяжелая множественная и сочетанная травма (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политравма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st29.008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Эндопротезирование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суставов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st29.009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костно-мышечной системе и суставах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st29.010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костно-мышечной системе и суставах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st29.011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костно-мышечной системе и суставах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st29.012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костно-мышечной системе и суставах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st29.013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костно-мышечной системе и суставах (уровень 5)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st30.006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мужских половых органах, взрослые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st30.007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мужских половых органах, взрослые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st30.008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мужских половых органах, взрослые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st30.009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мужских половых органах, взрослые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st30.010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почке и мочевыделительной системе, взрос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лые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st30.011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почке и мочевыделительной системе, взрослые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st30.012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почке и мочевыделительной системе, взрослые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st30.013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почке и мочевыделительной системе, взрослые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st30.014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почке и мочевыделительной системе, взрослые (уровень 5)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st30.015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почке и мочевыделительной системе, взрослые (уровень 6)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st31.002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коже, подкожной клетчатке, придатках кожи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st31.003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кож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е, подкожной клетчатке, придатках кожи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st31.004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коже, подкожной клетчатке, придатках кожи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st31.005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коже, подкожной клетчатке, придатках кожи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st31.006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органах кроветворения и иммунной системы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st31.007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органах кроветворения и иммунной системы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st31.008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органах кроветворения и иммунной системы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st31.009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эндокринных железах кроме гипофиза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st31.010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эндокринных железах кроме гипофиза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st31.015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Остеомиелит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st31.019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молочной железе (кроме злокачественных новообразований)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st32.001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желчном пузыре и желчевыводящих путях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st32.002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желчном пузыре и желчевыводящих путях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st32.003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желчном пузыре и желчевыводящих путях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st32.004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желчном пузыре и желчевыводя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щих путях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st32.005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печени и поджелудочной железе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st32.006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печени и поджелудочной железе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st32.007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Панкреатит, хирургическое лечение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st32.008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пищеводе, желудке, двенадцатиперстной кишке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st32.009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пищеводе, желудке, двенадцатиперстной кишке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st32.010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пищеводе, желудке, двенадцатиперстной кишке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st32.011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Аппендэктомия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, взрослые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st32.012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Аппендэктомия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, взрослые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st32.013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по поводу грыж, взрослые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st32.014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по поводу грыж, взрослые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st32.015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по поводу грыж, взрослые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st32.019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по поводу грыж, взрослые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st32.016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Другие операции на органах брюшной полости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st32.017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Другие операции на органах брюшной полости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st32.018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Другие операции на органах брюшной полости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st34.002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органах полости рта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st34.003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органах полости рта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st34.004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органах полости рта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st34.005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органах полости рта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st36.009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Реинфузия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аутокрови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st36.010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Баллонная внутриаортальная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контрпульсация</w:t>
            </w:r>
            <w:r>
              <w:rPr>
                <w:highlight w:val="white"/>
              </w:rPr>
            </w:r>
            <w:r/>
          </w:p>
        </w:tc>
      </w:tr>
      <w:tr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st36.011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Экстракорпоральная мембранная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оксигенация</w:t>
            </w:r>
            <w:r>
              <w:rPr>
                <w:highlight w:val="white"/>
              </w:rPr>
            </w:r>
            <w:r/>
          </w:p>
        </w:tc>
      </w:tr>
    </w:tbl>
    <w:p>
      <w:pPr>
        <w:ind w:firstLine="851"/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right="-6" w:firstLine="539"/>
        <w:jc w:val="both"/>
        <w:tabs>
          <w:tab w:val="left" w:pos="9920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</w:rPr>
        <w:t xml:space="preserve">Случаи проведения лекарственной терапии пациентам в возрасте 18 лет и старше и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случаи медицинской реабилитации, являющиеся прерванными по основаниям 7 и 9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оплачиваются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 аналогично случаям лечения, когда хирургическое вмешательство и (или)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тромболитическая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 терапия не проводились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ind w:firstLine="851"/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851"/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3.3. Тарифы на оплату медицинской помощи, оказанной в дневных стационарах</w:t>
      </w:r>
      <w:r>
        <w:rPr>
          <w:highlight w:val="white"/>
        </w:rPr>
      </w:r>
      <w:r/>
    </w:p>
    <w:p>
      <w:pPr>
        <w:ind w:firstLine="851"/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3.3.1.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Средний размер финансового обеспечения медицинско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й помощи по дневным стационарам, оказываемой медицинскими организациями, участвующими в реализации территориальной программы обязательного медицинского страхования Липецкой области, в расчете на одно застрахованное лицо, определенный на основе нормативов 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бъемов медицинской помощи и финансовых затрат на единицу объема медицинской помощи в дневных стационарах, установленных Территориальной программой обязательного медицинского страхования на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2023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год составляет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1600,93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руб. </w: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3.3.2. Перечень клинико-статистических групп заболеваний, с указанием коэффициентов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относительной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затратоемкости КСГ представлен в приложении № 19 к Тарифному соглашению.</w:t>
      </w:r>
      <w:r>
        <w:rPr>
          <w:highlight w:val="white"/>
        </w:rPr>
      </w:r>
      <w:r/>
    </w:p>
    <w:p>
      <w:pPr>
        <w:ind w:firstLine="56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3.3.3. Размер средней стоимости законченного случая лечения, включенного в КСГ (базовая ставка по дневным стационарам):</w:t>
      </w:r>
      <w:r>
        <w:rPr>
          <w:highlight w:val="white"/>
        </w:rPr>
      </w:r>
      <w:r/>
    </w:p>
    <w:p>
      <w:pPr>
        <w:ind w:firstLine="56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На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2023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год размер средней стоимост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 законченного случая лечения по дневному стационару установлен в сумме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15 079,40 руб.</w:t>
      </w:r>
      <w:r>
        <w:rPr>
          <w:highlight w:val="white"/>
        </w:rPr>
      </w:r>
      <w:r/>
    </w:p>
    <w:p>
      <w:pPr>
        <w:ind w:firstLine="56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Базовая ставка применяется, в том числе для осуществления межтерриториальных расчетов.</w:t>
      </w:r>
      <w:r>
        <w:rPr>
          <w:highlight w:val="white"/>
        </w:rPr>
      </w:r>
      <w:r/>
    </w:p>
    <w:p>
      <w:pPr>
        <w:ind w:firstLine="56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56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3.3.4. Поправочные коэффициенты оплаты КСГ.</w:t>
      </w:r>
      <w:r>
        <w:rPr>
          <w:highlight w:val="white"/>
        </w:rPr>
      </w:r>
      <w:r/>
    </w:p>
    <w:p>
      <w:pPr>
        <w:ind w:firstLine="56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3.3.4.1. Коэффициенты подуровня оказания медицинской помощи в дневных стационарах (КУС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vertAlign w:val="subscript"/>
        </w:rPr>
        <w:t xml:space="preserve">МО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):</w:t>
      </w:r>
      <w:r>
        <w:rPr>
          <w:highlight w:val="white"/>
        </w:rPr>
      </w:r>
      <w:r/>
    </w:p>
    <w:p>
      <w:pPr>
        <w:ind w:firstLine="56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tbl>
      <w:tblPr>
        <w:tblStyle w:val="1027"/>
        <w:tblW w:w="1007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5303"/>
        <w:gridCol w:w="4776"/>
      </w:tblGrid>
      <w:tr>
        <w:trPr>
          <w:trHeight w:val="508"/>
        </w:trPr>
        <w:tc>
          <w:tcPr>
            <w:tcW w:w="53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Подуровень оказания медицинской помощи</w:t>
            </w:r>
            <w:r>
              <w:rPr>
                <w:highlight w:val="white"/>
              </w:rPr>
            </w:r>
            <w:r/>
          </w:p>
        </w:tc>
        <w:tc>
          <w:tcPr>
            <w:tcW w:w="47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Коэффициент подуровня оказания медицинской помощи</w:t>
            </w:r>
            <w:r>
              <w:rPr>
                <w:highlight w:val="white"/>
              </w:rPr>
            </w:r>
            <w:r/>
          </w:p>
        </w:tc>
      </w:tr>
      <w:tr>
        <w:trPr>
          <w:trHeight w:val="248"/>
        </w:trPr>
        <w:tc>
          <w:tcPr>
            <w:gridSpan w:val="2"/>
            <w:tcW w:w="100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 уровень</w:t>
            </w:r>
            <w:r>
              <w:rPr>
                <w:highlight w:val="white"/>
              </w:rPr>
            </w:r>
            <w:r/>
          </w:p>
        </w:tc>
      </w:tr>
      <w:tr>
        <w:trPr>
          <w:trHeight w:val="259"/>
        </w:trPr>
        <w:tc>
          <w:tcPr>
            <w:tcW w:w="5303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Подуровень 1.1.</w:t>
            </w:r>
            <w:r>
              <w:rPr>
                <w:highlight w:val="white"/>
              </w:rPr>
            </w:r>
            <w:r/>
          </w:p>
        </w:tc>
        <w:tc>
          <w:tcPr>
            <w:tcW w:w="47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0,85</w:t>
            </w:r>
            <w:r>
              <w:rPr>
                <w:highlight w:val="white"/>
              </w:rPr>
            </w:r>
            <w:r/>
          </w:p>
        </w:tc>
      </w:tr>
      <w:tr>
        <w:trPr>
          <w:trHeight w:val="248"/>
        </w:trPr>
        <w:tc>
          <w:tcPr>
            <w:tcW w:w="5303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Подуровень 1.2.</w:t>
            </w:r>
            <w:r>
              <w:rPr>
                <w:highlight w:val="white"/>
              </w:rPr>
            </w:r>
            <w:r/>
          </w:p>
        </w:tc>
        <w:tc>
          <w:tcPr>
            <w:tcW w:w="47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0,87</w:t>
            </w:r>
            <w:r>
              <w:rPr>
                <w:highlight w:val="white"/>
              </w:rPr>
            </w:r>
            <w:r/>
          </w:p>
        </w:tc>
      </w:tr>
      <w:tr>
        <w:trPr>
          <w:trHeight w:val="248"/>
        </w:trPr>
        <w:tc>
          <w:tcPr>
            <w:gridSpan w:val="2"/>
            <w:tcW w:w="100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 уровень</w:t>
            </w:r>
            <w:r>
              <w:rPr>
                <w:highlight w:val="white"/>
              </w:rPr>
            </w:r>
            <w:r/>
          </w:p>
        </w:tc>
      </w:tr>
      <w:tr>
        <w:trPr>
          <w:trHeight w:val="259"/>
        </w:trPr>
        <w:tc>
          <w:tcPr>
            <w:tcW w:w="5303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Подуровень 2.1.</w:t>
            </w:r>
            <w:r>
              <w:rPr>
                <w:highlight w:val="white"/>
              </w:rPr>
            </w:r>
            <w:r/>
          </w:p>
        </w:tc>
        <w:tc>
          <w:tcPr>
            <w:tcW w:w="47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0,90</w:t>
            </w:r>
            <w:r>
              <w:rPr>
                <w:highlight w:val="white"/>
              </w:rPr>
            </w:r>
            <w:r/>
          </w:p>
        </w:tc>
      </w:tr>
      <w:tr>
        <w:trPr>
          <w:trHeight w:val="248"/>
        </w:trPr>
        <w:tc>
          <w:tcPr>
            <w:tcW w:w="5303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Подуровень 2.2.</w:t>
            </w:r>
            <w:r>
              <w:rPr>
                <w:highlight w:val="white"/>
              </w:rPr>
            </w:r>
            <w:r/>
          </w:p>
        </w:tc>
        <w:tc>
          <w:tcPr>
            <w:tcW w:w="47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0,93</w:t>
            </w:r>
            <w:r>
              <w:rPr>
                <w:highlight w:val="white"/>
              </w:rPr>
            </w:r>
            <w:r/>
          </w:p>
        </w:tc>
      </w:tr>
      <w:tr>
        <w:trPr>
          <w:trHeight w:val="259"/>
        </w:trPr>
        <w:tc>
          <w:tcPr>
            <w:tcW w:w="5303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Подуровень 2.3.</w:t>
            </w:r>
            <w:r>
              <w:rPr>
                <w:highlight w:val="white"/>
              </w:rPr>
            </w:r>
            <w:r/>
          </w:p>
        </w:tc>
        <w:tc>
          <w:tcPr>
            <w:tcW w:w="47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0,94</w:t>
            </w:r>
            <w:r>
              <w:rPr>
                <w:highlight w:val="white"/>
              </w:rPr>
            </w:r>
            <w:r/>
          </w:p>
        </w:tc>
      </w:tr>
      <w:tr>
        <w:trPr>
          <w:trHeight w:val="248"/>
        </w:trPr>
        <w:tc>
          <w:tcPr>
            <w:tcW w:w="5303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Подуровень 2.4.</w:t>
            </w:r>
            <w:r>
              <w:rPr>
                <w:highlight w:val="white"/>
              </w:rPr>
            </w:r>
            <w:r/>
          </w:p>
        </w:tc>
        <w:tc>
          <w:tcPr>
            <w:tcW w:w="47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0,97</w:t>
            </w:r>
            <w:r>
              <w:rPr>
                <w:highlight w:val="white"/>
              </w:rPr>
            </w:r>
            <w:r/>
          </w:p>
        </w:tc>
      </w:tr>
      <w:tr>
        <w:trPr>
          <w:trHeight w:val="248"/>
        </w:trPr>
        <w:tc>
          <w:tcPr>
            <w:tcW w:w="5303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Подуровень 2.5.</w:t>
            </w:r>
            <w:r>
              <w:rPr>
                <w:highlight w:val="white"/>
              </w:rPr>
            </w:r>
            <w:r/>
          </w:p>
        </w:tc>
        <w:tc>
          <w:tcPr>
            <w:tcW w:w="47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1,00</w:t>
            </w:r>
            <w:r>
              <w:rPr>
                <w:highlight w:val="white"/>
              </w:rPr>
            </w:r>
            <w:r/>
          </w:p>
        </w:tc>
      </w:tr>
      <w:tr>
        <w:trPr>
          <w:trHeight w:val="259"/>
        </w:trPr>
        <w:tc>
          <w:tcPr>
            <w:gridSpan w:val="2"/>
            <w:tcW w:w="100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 уровень</w:t>
            </w:r>
            <w:r>
              <w:rPr>
                <w:highlight w:val="white"/>
              </w:rPr>
            </w:r>
            <w:r/>
          </w:p>
        </w:tc>
      </w:tr>
      <w:tr>
        <w:trPr>
          <w:trHeight w:val="248"/>
        </w:trPr>
        <w:tc>
          <w:tcPr>
            <w:tcW w:w="5303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Подуровень 3.1.</w:t>
            </w:r>
            <w:r>
              <w:rPr>
                <w:highlight w:val="white"/>
              </w:rPr>
            </w:r>
            <w:r/>
          </w:p>
        </w:tc>
        <w:tc>
          <w:tcPr>
            <w:tcW w:w="47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1,10</w:t>
            </w:r>
            <w:r>
              <w:rPr>
                <w:highlight w:val="white"/>
              </w:rPr>
            </w:r>
            <w:r/>
          </w:p>
        </w:tc>
      </w:tr>
      <w:tr>
        <w:trPr>
          <w:trHeight w:val="259"/>
        </w:trPr>
        <w:tc>
          <w:tcPr>
            <w:tcW w:w="5303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Подуровень 3.2.</w:t>
            </w:r>
            <w:r>
              <w:rPr>
                <w:highlight w:val="white"/>
              </w:rPr>
            </w:r>
            <w:r/>
          </w:p>
        </w:tc>
        <w:tc>
          <w:tcPr>
            <w:tcW w:w="47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1,13</w:t>
            </w:r>
            <w:r>
              <w:rPr>
                <w:highlight w:val="white"/>
              </w:rPr>
            </w:r>
            <w:r/>
          </w:p>
        </w:tc>
      </w:tr>
    </w:tbl>
    <w:p>
      <w:pPr>
        <w:ind w:firstLine="56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3.3.4.2. Коэффициенты специфики (КС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vertAlign w:val="subscript"/>
        </w:rPr>
        <w:t xml:space="preserve">КСГ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):</w:t>
      </w:r>
      <w:r>
        <w:rPr>
          <w:highlight w:val="white"/>
        </w:rPr>
      </w:r>
      <w:r/>
    </w:p>
    <w:tbl>
      <w:tblPr>
        <w:tblStyle w:val="1029"/>
        <w:tblW w:w="100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45"/>
        <w:gridCol w:w="2302"/>
      </w:tblGrid>
      <w:tr>
        <w:trPr/>
        <w:tc>
          <w:tcPr>
            <w:tcW w:w="13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КСГ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Наименование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Коэффициент специфики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ds02.008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Экстракорпоральное оплодотворение (уровень 1)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1,0502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ds02.009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Экстракорпоральное оплодотворение (уровень 2)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1,0502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ds02.010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Экстракорпоральное оплодотворение (уровень 3)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1,0502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ds02.011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Экстракорпоральное оплодотворение (уровень 4)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1,0502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ds02.008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Экстракорпоральное оплодотворение (уровень 1)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1,0502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ds13.001</w:t>
            </w:r>
            <w:r>
              <w:rPr>
                <w:highlight w:val="white"/>
              </w:rPr>
            </w:r>
            <w:r/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Болезни системы кровообращения, взрослые</w:t>
            </w:r>
            <w:r>
              <w:rPr>
                <w:highlight w:val="white"/>
              </w:rPr>
            </w:r>
            <w:r/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0,9883</w:t>
            </w:r>
            <w:r>
              <w:rPr>
                <w:highlight w:val="white"/>
              </w:rPr>
            </w:r>
            <w:r/>
          </w:p>
        </w:tc>
      </w:tr>
    </w:tbl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3.3.4.3. Коэффициент приведения среднего норматива финансовых затрат на 1 случай лечения в дневном стационаре к базовой ставке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(КП) установлен в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размере 0,602.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3.3.4.4. Коэффициенты сложности лечения пациента (КСЛП)</w:t>
      </w:r>
      <w:r>
        <w:rPr>
          <w:highlight w:val="white"/>
        </w:rPr>
      </w:r>
      <w:r/>
    </w:p>
    <w:tbl>
      <w:tblPr>
        <w:tblStyle w:val="1047"/>
        <w:tblW w:w="0" w:type="auto"/>
        <w:tblLook w:val="04A0" w:firstRow="1" w:lastRow="0" w:firstColumn="1" w:lastColumn="0" w:noHBand="0" w:noVBand="1"/>
      </w:tblPr>
      <w:tblGrid>
        <w:gridCol w:w="566"/>
        <w:gridCol w:w="7622"/>
        <w:gridCol w:w="1843"/>
      </w:tblGrid>
      <w:tr>
        <w:trPr>
          <w:trHeight w:val="679"/>
          <w:tblHeader/>
        </w:trPr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highlight w:val="white"/>
              </w:rPr>
              <w:t xml:space="preserve">№</w:t>
            </w:r>
            <w:r>
              <w:rPr>
                <w:highlight w:val="white"/>
              </w:rPr>
            </w:r>
            <w:r/>
          </w:p>
        </w:tc>
        <w:tc>
          <w:tcPr>
            <w:tcW w:w="7622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highlight w:val="white"/>
              </w:rPr>
              <w:t xml:space="preserve">Случаи, для которых 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highlight w:val="white"/>
              </w:rPr>
              <w:t xml:space="preserve">установлен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highlight w:val="white"/>
              </w:rPr>
              <w:t xml:space="preserve"> КСЛП</w:t>
            </w:r>
            <w:r>
              <w:rPr>
                <w:highlight w:val="whit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highlight w:val="white"/>
              </w:rPr>
              <w:t xml:space="preserve">Значение КСЛП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highlight w:val="white"/>
              </w:rPr>
              <w:t xml:space="preserve">13</w:t>
            </w:r>
            <w:r>
              <w:rPr>
                <w:highlight w:val="white"/>
              </w:rPr>
            </w:r>
            <w:r/>
          </w:p>
        </w:tc>
        <w:tc>
          <w:tcPr>
            <w:tcW w:w="7622" w:type="dxa"/>
            <w:textDirection w:val="lrTb"/>
            <w:noWrap w:val="false"/>
          </w:tcPr>
          <w:p>
            <w:pPr>
              <w:jc w:val="left"/>
              <w:widowControl w:val="off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highlight w:val="white"/>
              </w:rPr>
              <w:t xml:space="preserve">проведение сопр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highlight w:val="white"/>
              </w:rPr>
              <w:t xml:space="preserve">оводительной лекарственной терапии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highlight w:val="white"/>
              </w:rPr>
              <w:t xml:space="preserve">при злокачественных новообразованиях у взрослых в условиях дневного стационара в соответствии с клиническими рекомендациями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highlight w:val="white"/>
              </w:rPr>
              <w:t xml:space="preserve">*</w:t>
            </w:r>
            <w:r>
              <w:rPr>
                <w:highlight w:val="whit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highlight w:val="white"/>
              </w:rPr>
              <w:t xml:space="preserve">1,20</w:t>
            </w:r>
            <w:r>
              <w:rPr>
                <w:highlight w:val="white"/>
              </w:rPr>
            </w:r>
            <w:r/>
          </w:p>
        </w:tc>
      </w:tr>
    </w:tbl>
    <w:p>
      <w:pPr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*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 – стоимость КСЛП «проведение сопроводительной лекарственной терапии при злокачественных новообразованиях у взрослых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в соответствии с клиническими рекомендациями» в стационарных условиях и в условиях дневного стационара определяется без учета коэффициента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дифференциации субъекта Российской Федерации.</w:t>
      </w:r>
      <w:r>
        <w:rPr>
          <w:highlight w:val="white"/>
        </w:rPr>
      </w:r>
      <w:r/>
    </w:p>
    <w:p>
      <w:pPr>
        <w:pStyle w:val="1044"/>
        <w:ind w:firstLine="567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</w:r>
      <w:r>
        <w:rPr>
          <w:highlight w:val="white"/>
        </w:rPr>
      </w:r>
      <w:r/>
    </w:p>
    <w:p>
      <w:pPr>
        <w:pStyle w:val="1044"/>
        <w:ind w:firstLine="567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При отсутствии оснований применения КСЛП, значение параметра КСЛП при расчете стоимости законченного случая лечения принимается </w:t>
      </w:r>
      <w:r>
        <w:rPr>
          <w:rFonts w:ascii="Times New Roman" w:hAnsi="Times New Roman" w:cs="Times New Roman"/>
          <w:sz w:val="28"/>
          <w:highlight w:val="white"/>
        </w:rPr>
        <w:t xml:space="preserve">равным</w:t>
      </w:r>
      <w:r>
        <w:rPr>
          <w:rFonts w:ascii="Times New Roman" w:hAnsi="Times New Roman" w:cs="Times New Roman"/>
          <w:sz w:val="28"/>
          <w:highlight w:val="white"/>
        </w:rPr>
        <w:t xml:space="preserve"> 0.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Порядок применения КСЛП определен приложением №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 м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етодическим рекомендациям Министерства здравоохранения Российско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й Федерации и Федерального фонда обязательного медицинского страхования «Методические рекомендации по способам оплаты медицинской помощи за счет средств обязательного медицинского страхования»</w:t>
      </w:r>
      <w:r>
        <w:rPr>
          <w:rFonts w:ascii="Times New Roman" w:hAnsi="Times New Roman" w:cs="Times New Roman"/>
          <w:sz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ind w:firstLine="567"/>
        <w:jc w:val="both"/>
        <w:rPr>
          <w:rFonts w:ascii="Times New Roman" w:hAnsi="Times New Roman" w:cs="Times New Roman" w:eastAsia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3.3.5. Расчет стоимости 1 случая лечения в дневном стационаре.</w:t>
      </w:r>
      <w:r>
        <w:rPr>
          <w:highlight w:val="white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pStyle w:val="1044"/>
        <w:ind w:firstLine="540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Стоимость одного случая госпитализации в дневном стационаре (</w:t>
      </w:r>
      <w:r>
        <w:rPr>
          <w:rFonts w:ascii="Times New Roman" w:hAnsi="Times New Roman" w:cs="Times New Roman"/>
          <w:sz w:val="28"/>
          <w:highlight w:val="white"/>
        </w:rPr>
        <w:t xml:space="preserve">ССксг</w:t>
      </w:r>
      <w:r>
        <w:rPr>
          <w:rFonts w:ascii="Times New Roman" w:hAnsi="Times New Roman" w:cs="Times New Roman"/>
          <w:sz w:val="28"/>
          <w:highlight w:val="white"/>
        </w:rPr>
        <w:t xml:space="preserve">) по КСГ (за исключением КСГ, в составе которых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 29.12.2022 № 2497 «О Программе государственных гарантий бесплатного оказания гражданам ме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дицинской помощи на 2023 год и на плановый период 2024 и 2025 годов»</w:t>
      </w:r>
      <w:r>
        <w:rPr>
          <w:rFonts w:ascii="Times New Roman" w:hAnsi="Times New Roman" w:cs="Times New Roman"/>
          <w:sz w:val="28"/>
          <w:highlight w:val="white"/>
        </w:rPr>
        <w:t xml:space="preserve"> установлены доли заработной платы и прочих расходов), </w:t>
      </w:r>
      <w:r>
        <w:rPr>
          <w:rFonts w:ascii="Times New Roman" w:hAnsi="Times New Roman" w:cs="Times New Roman"/>
          <w:sz w:val="28"/>
          <w:highlight w:val="white"/>
        </w:rPr>
        <w:t xml:space="preserve">определяется по следующей формуле:</w:t>
      </w:r>
      <w:r>
        <w:rPr>
          <w:highlight w:val="white"/>
        </w:rPr>
      </w:r>
      <w:r/>
    </w:p>
    <w:p>
      <w:pPr>
        <w:pStyle w:val="1044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</w:r>
      <w:r>
        <w:rPr>
          <w:highlight w:val="white"/>
        </w:rPr>
      </w:r>
      <w:r/>
    </w:p>
    <w:p>
      <w:pPr>
        <w:pStyle w:val="1044"/>
        <w:jc w:val="center"/>
        <w:rPr>
          <w:rFonts w:ascii="Times New Roman" w:hAnsi="Times New Roman" w:cs="Times New Roman"/>
          <w:highlight w:val="white"/>
        </w:rPr>
      </w:pPr>
      <w:r>
        <w:rPr>
          <w:highlight w:val="white"/>
        </w:rPr>
      </w:r>
      <w:r/>
      <m:oMath>
        <m:sSub>
          <m:sSubPr>
            <m:ctrlPr>
              <w:rPr>
                <w:rFonts w:ascii="Cambria Math" w:hAnsi="Cambria Math" w:cs="Calibri" w:eastAsia="Times New Roman"/>
                <w:i/>
                <w:color w:val="000000" w:themeColor="text1"/>
                <w:sz w:val="32"/>
                <w:szCs w:val="20"/>
                <w:lang w:eastAsia="ru-RU"/>
              </w:rPr>
            </m:ctrlPr>
          </m:sSubPr>
          <m:e>
            <m:r>
              <w:rPr>
                <w:rFonts w:ascii="Cambria Math" w:hAnsi="Cambria Math" w:cs="Calibri" w:eastAsia="Times New Roman"/>
                <w:color w:val="000000" w:themeColor="text1"/>
                <w:sz w:val="32"/>
                <w:szCs w:val="20"/>
                <w:lang w:eastAsia="ru-RU"/>
              </w:rPr>
              <m:rPr/>
              <m:t>СС</m:t>
            </m:r>
          </m:e>
          <m:sub>
            <m:r>
              <w:rPr>
                <w:rFonts w:ascii="Cambria Math" w:hAnsi="Cambria Math" w:cs="Calibri" w:eastAsia="Times New Roman"/>
                <w:color w:val="000000" w:themeColor="text1"/>
                <w:sz w:val="32"/>
                <w:szCs w:val="20"/>
                <w:lang w:eastAsia="ru-RU"/>
              </w:rPr>
              <m:rPr/>
              <m:t>КСГ</m:t>
            </m:r>
          </m:sub>
        </m:sSub>
        <m:r>
          <w:rPr>
            <w:rFonts w:ascii="Cambria Math" w:hAnsi="Cambria Math" w:cs="Calibri" w:eastAsia="Times New Roman"/>
            <w:color w:val="000000" w:themeColor="text1"/>
            <w:sz w:val="32"/>
            <w:szCs w:val="20"/>
            <w:lang w:eastAsia="ru-RU"/>
          </w:rPr>
          <m:rPr/>
          <m:t>=БС×КД×</m:t>
        </m:r>
        <m:sSub>
          <m:sSubPr>
            <m:ctrlPr>
              <w:rPr>
                <w:rFonts w:ascii="Cambria Math" w:hAnsi="Cambria Math" w:cs="Calibri" w:eastAsia="Times New Roman"/>
                <w:i/>
                <w:color w:val="000000" w:themeColor="text1"/>
                <w:sz w:val="32"/>
                <w:szCs w:val="20"/>
                <w:lang w:eastAsia="ru-RU"/>
              </w:rPr>
            </m:ctrlPr>
          </m:sSubPr>
          <m:e>
            <m:r>
              <w:rPr>
                <w:rFonts w:ascii="Cambria Math" w:hAnsi="Cambria Math" w:cs="Calibri" w:eastAsia="Times New Roman"/>
                <w:color w:val="000000" w:themeColor="text1"/>
                <w:sz w:val="32"/>
                <w:szCs w:val="20"/>
                <w:lang w:eastAsia="ru-RU"/>
              </w:rPr>
              <m:rPr/>
              <m:t>КЗ</m:t>
            </m:r>
          </m:e>
          <m:sub>
            <m:r>
              <w:rPr>
                <w:rFonts w:ascii="Cambria Math" w:hAnsi="Cambria Math" w:cs="Calibri" w:eastAsia="Times New Roman"/>
                <w:color w:val="000000" w:themeColor="text1"/>
                <w:sz w:val="32"/>
                <w:szCs w:val="20"/>
                <w:lang w:eastAsia="ru-RU"/>
              </w:rPr>
              <m:rPr/>
              <m:t>КСГ</m:t>
            </m:r>
          </m:sub>
        </m:sSub>
        <m:r>
          <w:rPr>
            <w:rFonts w:ascii="Cambria Math" w:hAnsi="Cambria Math" w:cs="Calibri" w:eastAsia="Times New Roman"/>
            <w:color w:val="000000" w:themeColor="text1"/>
            <w:sz w:val="32"/>
            <w:szCs w:val="20"/>
            <w:lang w:eastAsia="ru-RU"/>
          </w:rPr>
          <m:rPr/>
          <m:t>×</m:t>
        </m:r>
        <m:sSub>
          <m:sSubPr>
            <m:ctrlPr>
              <w:rPr>
                <w:rFonts w:ascii="Cambria Math" w:hAnsi="Cambria Math" w:cs="Calibri" w:eastAsia="Times New Roman"/>
                <w:i/>
                <w:color w:val="000000" w:themeColor="text1"/>
                <w:sz w:val="29"/>
                <w:szCs w:val="20"/>
                <w:lang w:eastAsia="ru-RU"/>
              </w:rPr>
            </m:ctrlPr>
          </m:sSubPr>
          <m:e>
            <m:r>
              <w:rPr>
                <w:rFonts w:ascii="Cambria Math" w:hAnsi="Cambria Math" w:cs="Calibri"/>
                <w:color w:val="000000" w:themeColor="text1"/>
                <w:sz w:val="29"/>
                <w:szCs w:val="20"/>
                <w:lang w:eastAsia="ru-RU"/>
              </w:rPr>
              <m:rPr>
                <m:sty m:val="p"/>
              </m:rPr>
              <m:t>КС</m:t>
            </m:r>
          </m:e>
          <m:sub>
            <m:r>
              <w:rPr>
                <w:rFonts w:ascii="Cambria Math" w:hAnsi="Cambria Math" w:cs="Calibri"/>
                <w:color w:val="000000" w:themeColor="text1"/>
                <w:sz w:val="29"/>
                <w:szCs w:val="20"/>
                <w:lang w:eastAsia="ru-RU"/>
              </w:rPr>
              <m:rPr/>
              <m:t>КСГ</m:t>
            </m:r>
          </m:sub>
        </m:sSub>
        <m:r>
          <w:rPr>
            <w:rFonts w:ascii="Cambria Math" w:hAnsi="Cambria Math" w:cs="Calibri"/>
            <w:color w:val="000000" w:themeColor="text1"/>
            <w:sz w:val="29"/>
            <w:szCs w:val="20"/>
            <w:lang w:eastAsia="ru-RU"/>
          </w:rPr>
          <m:rPr/>
          <m:t>×</m:t>
        </m:r>
        <m:sSub>
          <m:sSubPr>
            <m:ctrlPr>
              <w:rPr>
                <w:rFonts w:ascii="Cambria Math" w:hAnsi="Cambria Math" w:cs="Calibri" w:eastAsia="Times New Roman"/>
                <w:i/>
                <w:color w:val="000000" w:themeColor="text1"/>
                <w:sz w:val="29"/>
                <w:szCs w:val="20"/>
                <w:lang w:eastAsia="ru-RU"/>
              </w:rPr>
            </m:ctrlPr>
          </m:sSubPr>
          <m:e>
            <m:r>
              <w:rPr>
                <w:rFonts w:ascii="Cambria Math" w:hAnsi="Cambria Math" w:cs="Calibri"/>
                <w:color w:val="000000" w:themeColor="text1"/>
                <w:sz w:val="29"/>
                <w:szCs w:val="20"/>
                <w:lang w:eastAsia="ru-RU"/>
              </w:rPr>
              <m:rPr/>
              <m:t>КУС</m:t>
            </m:r>
          </m:e>
          <m:sub>
            <m:r>
              <w:rPr>
                <w:rFonts w:ascii="Cambria Math" w:hAnsi="Cambria Math" w:cs="Calibri"/>
                <w:color w:val="000000" w:themeColor="text1"/>
                <w:sz w:val="29"/>
                <w:szCs w:val="20"/>
                <w:lang w:eastAsia="ru-RU"/>
              </w:rPr>
              <m:rPr/>
              <m:t>МО</m:t>
            </m:r>
          </m:sub>
        </m:sSub>
        <m:r>
          <w:rPr>
            <w:rFonts w:ascii="Cambria Math" w:hAnsi="Cambria Math" w:cs="Calibri" w:eastAsia="Times New Roman"/>
            <w:color w:val="000000" w:themeColor="text1"/>
            <w:sz w:val="32"/>
            <w:szCs w:val="20"/>
            <w:lang w:eastAsia="ru-RU"/>
          </w:rPr>
          <m:rPr/>
          <m:t>+БС×</m:t>
        </m:r>
        <m:r>
          <w:rPr>
            <w:rFonts w:ascii="Cambria Math" w:hAnsi="Cambria Math" w:cs="Calibri" w:eastAsia="Times New Roman"/>
            <w:color w:val="000000" w:themeColor="text1"/>
            <w:sz w:val="32"/>
            <w:szCs w:val="20"/>
            <w:lang w:eastAsia="ru-RU"/>
          </w:rPr>
          <m:rPr/>
          <m:t>КД</m:t>
        </m:r>
        <m:r>
          <w:rPr>
            <w:rFonts w:ascii="Cambria Math" w:hAnsi="Cambria Math" w:cs="Calibri" w:eastAsia="Times New Roman"/>
            <w:color w:val="000000" w:themeColor="text1"/>
            <w:sz w:val="32"/>
            <w:szCs w:val="20"/>
            <w:lang w:eastAsia="ru-RU"/>
          </w:rPr>
          <m:rPr/>
          <m:t>×КСЛП</m:t>
        </m:r>
      </m:oMath>
      <w:r>
        <w:rPr>
          <w:rFonts w:ascii="Times New Roman" w:hAnsi="Times New Roman" w:cs="Times New Roman"/>
          <w:sz w:val="28"/>
          <w:highlight w:val="white"/>
        </w:rPr>
        <w:t xml:space="preserve">, где:</w:t>
      </w:r>
      <w:r/>
      <w:r>
        <w:rPr>
          <w:highlight w:val="white"/>
        </w:rPr>
      </w:r>
      <w:r/>
    </w:p>
    <w:p>
      <w:pPr>
        <w:pStyle w:val="1044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</w:r>
      <w:r>
        <w:rPr>
          <w:highlight w:val="white"/>
        </w:rPr>
      </w:r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22"/>
        <w:gridCol w:w="7448"/>
        <w:gridCol w:w="62"/>
      </w:tblGrid>
      <w:tr>
        <w:trPr>
          <w:gridAfter w:val="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04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      БС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48" w:type="dxa"/>
            <w:textDirection w:val="lrTb"/>
            <w:noWrap w:val="false"/>
          </w:tcPr>
          <w:p>
            <w:pPr>
              <w:pStyle w:val="1044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базовая ставка, рублей;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04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      КД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0" w:type="dxa"/>
            <w:textDirection w:val="lrTb"/>
            <w:noWrap w:val="false"/>
          </w:tcPr>
          <w:p>
            <w:pPr>
              <w:pStyle w:val="1044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коэффициент дифференциации, рассчитанный в соответствии с Постановлением № 462);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044"/>
              <w:rPr>
                <w:rFonts w:ascii="Times New Roman" w:hAnsi="Times New Roman" w:cs="Times New Roman"/>
                <w:highlight w:val="white"/>
              </w:rPr>
            </w:pPr>
            <w:r>
              <w:rPr>
                <w:highlight w:val="white"/>
              </w:rPr>
            </w: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Cambria Math" w:eastAsia="Cambria Math"/>
                        <w:i/>
                        <w:sz w:val="28"/>
                        <w:highlight w:val="white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highlight w:val="white"/>
                        <w:vertAlign w:val="subscript"/>
                      </w:rPr>
                      <m:rPr/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highlight w:val="white"/>
                        <w:vertAlign w:val="subscript"/>
                      </w:rPr>
                      <m:rPr/>
                      <m:t>КСГ</m:t>
                    </m:r>
                  </m:sub>
                </m:sSub>
              </m:oMath>
            </m:oMathPara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0" w:type="dxa"/>
            <w:textDirection w:val="lrTb"/>
            <w:noWrap w:val="false"/>
          </w:tcPr>
          <w:p>
            <w:pPr>
              <w:pStyle w:val="1044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коэффициент относительной затратоемкости КСГ, к которой отнесен данный случай госпитализации;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044"/>
              <w:jc w:val="center"/>
              <w:rPr>
                <w:rFonts w:cs="Times New Roman" w:eastAsia="Calibri"/>
                <w:highlight w:val="white"/>
              </w:rPr>
            </w:pPr>
            <w:r>
              <w:rPr>
                <w:highlight w:val="white"/>
              </w:rPr>
            </w: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eastAsiaTheme="minorHAnsi" w:cstheme="minorBidi"/>
                        <w:i/>
                        <w:sz w:val="29"/>
                        <w:szCs w:val="29"/>
                        <w:highlight w:val="white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eastAsiaTheme="minorHAnsi" w:cstheme="minorBidi"/>
                        <w:sz w:val="29"/>
                        <w:szCs w:val="29"/>
                        <w:highlight w:val="white"/>
                        <w:lang w:eastAsia="en-US"/>
                      </w:rPr>
                      <m:rPr>
                        <m:sty m:val="p"/>
                      </m:rPr>
                      <m:t>КС</m:t>
                    </m:r>
                  </m:e>
                  <m:sub>
                    <m:r>
                      <w:rPr>
                        <w:rFonts w:ascii="Cambria Math" w:hAnsi="Cambria Math" w:eastAsiaTheme="minorHAnsi" w:cstheme="minorBidi"/>
                        <w:sz w:val="29"/>
                        <w:szCs w:val="29"/>
                        <w:highlight w:val="white"/>
                        <w:lang w:eastAsia="en-US"/>
                      </w:rPr>
                      <m:rPr/>
                      <m:t>КСГ</m:t>
                    </m:r>
                  </m:sub>
                </m:sSub>
              </m:oMath>
            </m:oMathPara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0" w:type="dxa"/>
            <w:textDirection w:val="lrTb"/>
            <w:noWrap w:val="false"/>
          </w:tcPr>
          <w:p>
            <w:pPr>
              <w:pStyle w:val="1044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коэффициент специфики КСГ, к которой отнесен данный случай госпитализации (используется в расчетах, в случае если указанный коэффициент определен 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для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 данно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й КСГ);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044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highlight w:val="white"/>
              </w:rPr>
            </w: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eastAsiaTheme="minorHAnsi" w:cstheme="minorBidi"/>
                        <w:i/>
                        <w:sz w:val="29"/>
                        <w:szCs w:val="29"/>
                        <w:highlight w:val="white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eastAsiaTheme="minorHAnsi" w:cstheme="minorBidi"/>
                        <w:sz w:val="29"/>
                        <w:szCs w:val="29"/>
                        <w:highlight w:val="white"/>
                        <w:lang w:eastAsia="en-US"/>
                      </w:rPr>
                      <m:rPr/>
                      <m:t>КУС</m:t>
                    </m:r>
                  </m:e>
                  <m:sub>
                    <m:r>
                      <w:rPr>
                        <w:rFonts w:ascii="Cambria Math" w:hAnsi="Cambria Math" w:eastAsiaTheme="minorHAnsi" w:cstheme="minorBidi"/>
                        <w:sz w:val="29"/>
                        <w:szCs w:val="29"/>
                        <w:highlight w:val="white"/>
                        <w:lang w:eastAsia="en-US"/>
                      </w:rPr>
                      <m:rPr/>
                      <m:t>МО</m:t>
                    </m:r>
                  </m:sub>
                </m:sSub>
              </m:oMath>
            </m:oMathPara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0" w:type="dxa"/>
            <w:textDirection w:val="lrTb"/>
            <w:noWrap w:val="false"/>
          </w:tcPr>
          <w:p>
            <w:pPr>
              <w:pStyle w:val="1044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коэффициент подуровня медицинской организации, в которой был пролечен пациент;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044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КСЛП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0" w:type="dxa"/>
            <w:textDirection w:val="lrTb"/>
            <w:noWrap w:val="false"/>
          </w:tcPr>
          <w:p>
            <w:pPr>
              <w:pStyle w:val="1044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коэффициент сложности лечения пациента (при необходимости, сумма 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применяемых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 КСЛП)</w:t>
            </w:r>
            <w:r>
              <w:rPr>
                <w:highlight w:val="white"/>
              </w:rPr>
            </w:r>
            <w:r/>
          </w:p>
        </w:tc>
      </w:tr>
    </w:tbl>
    <w:p>
      <w:pPr>
        <w:ind w:firstLine="540"/>
        <w:jc w:val="both"/>
        <w:rPr>
          <w:rFonts w:ascii="Times New Roman" w:hAnsi="Times New Roman" w:cs="Times New Roman" w:eastAsia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highlight w:val="white"/>
        </w:rPr>
        <w:t xml:space="preserve">Стоимость одного случая госпитализации в круглосуточном стационаре (</w:t>
      </w:r>
      <w:r>
        <w:rPr>
          <w:rFonts w:ascii="Times New Roman" w:hAnsi="Times New Roman" w:cs="Times New Roman"/>
          <w:sz w:val="28"/>
          <w:highlight w:val="white"/>
        </w:rPr>
        <w:t xml:space="preserve">ССксг</w:t>
      </w:r>
      <w:r>
        <w:rPr>
          <w:rFonts w:ascii="Times New Roman" w:hAnsi="Times New Roman" w:cs="Times New Roman"/>
          <w:sz w:val="28"/>
          <w:highlight w:val="white"/>
        </w:rPr>
        <w:t xml:space="preserve">) по КСГ в составе которых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 29.12.2022 № 2497 «О Программе государственных гарантий бесплатного оказания гражданам медицинской помо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щи на 2023 год и на плановый период 2024 и 2025 годов»</w:t>
      </w:r>
      <w:r>
        <w:rPr>
          <w:rFonts w:ascii="Times New Roman" w:hAnsi="Times New Roman" w:cs="Times New Roman"/>
          <w:sz w:val="28"/>
          <w:highlight w:val="white"/>
        </w:rPr>
        <w:t xml:space="preserve"> установлены доли заработной платы и прочих расходов, определяется по следующей формуле:</w:t>
      </w:r>
      <w:r>
        <w:rPr>
          <w:highlight w:val="white"/>
        </w:rPr>
      </w:r>
      <w:r/>
    </w:p>
    <w:p>
      <w:pPr>
        <w:pStyle w:val="1044"/>
        <w:ind w:right="-143"/>
        <w:jc w:val="center"/>
        <w:tabs>
          <w:tab w:val="left" w:pos="567" w:leader="none"/>
          <w:tab w:val="right" w:pos="9498" w:leader="none"/>
        </w:tabs>
        <w:rPr>
          <w:rFonts w:ascii="Times New Roman" w:hAnsi="Times New Roman" w:cs="Times New Roman"/>
          <w:highlight w:val="white"/>
        </w:rPr>
      </w:pPr>
      <w:r>
        <w:rPr>
          <w:highlight w:val="white"/>
        </w:rPr>
      </w:r>
      <m:oMathPara>
        <m:oMathParaPr/>
        <m:oMath>
          <m:sSub>
            <m:sSubPr>
              <m:ctrlPr>
                <w:rPr>
                  <w:rFonts w:ascii="Cambria Math" w:hAnsi="Cambria Math" w:cs="Cambria Math" w:eastAsia="Cambria Math"/>
                  <w:i/>
                  <w:sz w:val="28"/>
                  <w:szCs w:val="24"/>
                  <w:highlight w:val="white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4"/>
                  <w:highlight w:val="white"/>
                </w:rPr>
                <m:rPr/>
                <m:t>СС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4"/>
                  <w:highlight w:val="white"/>
                </w:rPr>
                <m:rPr/>
                <m:t>КСГ</m:t>
              </m:r>
            </m:sub>
          </m:sSub>
          <m:r>
            <w:rPr>
              <w:rFonts w:ascii="Cambria Math" w:hAnsi="Cambria Math" w:cs="Times New Roman"/>
              <w:sz w:val="28"/>
              <w:szCs w:val="24"/>
              <w:highlight w:val="white"/>
            </w:rPr>
            <m:rPr/>
            <m:t>=БС×</m:t>
          </m:r>
          <m:sSub>
            <m:sSubPr>
              <m:ctrlPr>
                <w:rPr>
                  <w:rFonts w:ascii="Cambria Math" w:hAnsi="Cambria Math" w:cs="Cambria Math" w:eastAsia="Cambria Math"/>
                  <w:i/>
                  <w:sz w:val="28"/>
                  <w:szCs w:val="24"/>
                  <w:highlight w:val="white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4"/>
                  <w:highlight w:val="white"/>
                </w:rPr>
                <m:rPr/>
                <m:t>КЗ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4"/>
                  <w:highlight w:val="white"/>
                </w:rPr>
                <m:rPr/>
                <m:t>КСГ</m:t>
              </m:r>
            </m:sub>
          </m:sSub>
          <m:r>
            <w:rPr>
              <w:rFonts w:ascii="Cambria Math" w:hAnsi="Cambria Math" w:cs="Times New Roman"/>
              <w:sz w:val="28"/>
              <w:szCs w:val="24"/>
              <w:highlight w:val="white"/>
            </w:rPr>
            <m:rPr/>
            <m:t>×</m:t>
          </m:r>
          <m:d>
            <m:dPr>
              <m:ctrlPr>
                <w:rPr>
                  <w:rFonts w:ascii="Cambria Math" w:hAnsi="Cambria Math" w:cs="Cambria Math" w:eastAsia="Cambria Math"/>
                  <w:i/>
                  <w:sz w:val="28"/>
                  <w:szCs w:val="24"/>
                  <w:highlight w:val="white"/>
                </w:rPr>
              </m:ctrlPr>
            </m:dPr>
            <m:e>
              <m:d>
                <m:dPr>
                  <m:ctrlPr>
                    <w:rPr>
                      <w:rFonts w:ascii="Cambria Math" w:hAnsi="Cambria Math" w:cs="Cambria Math" w:eastAsia="Cambria Math"/>
                      <w:i/>
                      <w:sz w:val="28"/>
                      <w:szCs w:val="24"/>
                      <w:highlight w:val="white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4"/>
                      <w:highlight w:val="white"/>
                    </w:rPr>
                    <m:rPr/>
                    <m:t>1-</m:t>
                  </m:r>
                  <m:sSub>
                    <m:sSubPr>
                      <m:ctrlPr>
                        <w:rPr>
                          <w:rFonts w:ascii="Cambria Math" w:hAnsi="Cambria Math" w:cs="Cambria Math" w:eastAsia="Cambria Math"/>
                          <w:i/>
                          <w:sz w:val="28"/>
                          <w:szCs w:val="24"/>
                          <w:highlight w:val="white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4"/>
                          <w:highlight w:val="white"/>
                        </w:rPr>
                        <m:rPr/>
                        <m:t>Д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4"/>
                          <w:highlight w:val="white"/>
                        </w:rPr>
                        <m:rPr/>
                        <m:t>ЗП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szCs w:val="24"/>
                  <w:highlight w:val="white"/>
                </w:rPr>
                <m:rPr/>
                <m:t> +</m:t>
              </m:r>
              <m:sSub>
                <m:sSubPr>
                  <m:ctrlPr>
                    <w:rPr>
                      <w:rFonts w:ascii="Cambria Math" w:hAnsi="Cambria Math" w:eastAsiaTheme="minorHAnsi" w:cstheme="minorBidi"/>
                      <w:i/>
                      <w:sz w:val="28"/>
                      <w:szCs w:val="24"/>
                      <w:highlight w:val="white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4"/>
                      <w:highlight w:val="white"/>
                    </w:rPr>
                    <m:rPr/>
                    <m:t>Д</m:t>
                  </m:r>
                </m:e>
                <m:sub>
                  <m:r>
                    <w:rPr>
                      <w:rFonts w:ascii="Cambria Math" w:hAnsi="Cambria Math" w:eastAsiaTheme="minorHAnsi" w:cstheme="minorBidi"/>
                      <w:sz w:val="28"/>
                      <w:szCs w:val="24"/>
                      <w:highlight w:val="white"/>
                      <w:lang w:eastAsia="en-US"/>
                    </w:rPr>
                    <m:rPr/>
                    <m:t>ЗП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4"/>
                  <w:highlight w:val="white"/>
                </w:rPr>
                <m:rPr/>
                <m:t>×</m:t>
              </m:r>
              <m:sSub>
                <m:sSubPr>
                  <m:ctrlPr>
                    <w:rPr>
                      <w:rFonts w:ascii="Cambria Math" w:hAnsi="Cambria Math" w:eastAsiaTheme="minorHAnsi" w:cstheme="minorBidi"/>
                      <w:i/>
                      <w:sz w:val="29"/>
                      <w:szCs w:val="29"/>
                      <w:highlight w:val="white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eastAsiaTheme="minorHAnsi" w:cstheme="minorBidi"/>
                      <w:sz w:val="29"/>
                      <w:szCs w:val="29"/>
                      <w:highlight w:val="white"/>
                      <w:lang w:eastAsia="en-US"/>
                    </w:rPr>
                    <m:rPr>
                      <m:sty m:val="p"/>
                    </m:rPr>
                    <m:t>КС</m:t>
                  </m:r>
                </m:e>
                <m:sub>
                  <m:r>
                    <w:rPr>
                      <w:rFonts w:ascii="Cambria Math" w:hAnsi="Cambria Math" w:eastAsiaTheme="minorHAnsi" w:cstheme="minorBidi"/>
                      <w:sz w:val="29"/>
                      <w:szCs w:val="29"/>
                      <w:highlight w:val="white"/>
                      <w:lang w:eastAsia="en-US"/>
                    </w:rPr>
                    <m:rPr/>
                    <m:t>КСГ</m:t>
                  </m:r>
                </m:sub>
              </m:sSub>
              <m:r>
                <w:rPr>
                  <w:rFonts w:ascii="Cambria Math" w:hAnsi="Cambria Math" w:eastAsiaTheme="minorHAnsi" w:cstheme="minorBidi"/>
                  <w:sz w:val="29"/>
                  <w:szCs w:val="29"/>
                  <w:highlight w:val="white"/>
                  <w:lang w:eastAsia="en-US"/>
                </w:rPr>
                <m:rPr/>
                <m:t>×</m:t>
              </m:r>
              <m:sSub>
                <m:sSubPr>
                  <m:ctrlPr>
                    <w:rPr>
                      <w:rFonts w:ascii="Cambria Math" w:hAnsi="Cambria Math" w:eastAsiaTheme="minorHAnsi" w:cstheme="minorBidi"/>
                      <w:i/>
                      <w:sz w:val="29"/>
                      <w:szCs w:val="29"/>
                      <w:highlight w:val="white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eastAsiaTheme="minorHAnsi" w:cstheme="minorBidi"/>
                      <w:sz w:val="29"/>
                      <w:szCs w:val="29"/>
                      <w:highlight w:val="white"/>
                      <w:lang w:eastAsia="en-US"/>
                    </w:rPr>
                    <m:rPr/>
                    <m:t>КУС</m:t>
                  </m:r>
                </m:e>
                <m:sub>
                  <m:r>
                    <w:rPr>
                      <w:rFonts w:ascii="Cambria Math" w:hAnsi="Cambria Math" w:eastAsiaTheme="minorHAnsi" w:cstheme="minorBidi"/>
                      <w:sz w:val="29"/>
                      <w:szCs w:val="29"/>
                      <w:highlight w:val="white"/>
                      <w:lang w:eastAsia="en-US"/>
                    </w:rPr>
                    <m:rPr/>
                    <m:t>МО</m:t>
                  </m:r>
                </m:sub>
              </m:sSub>
              <m:r>
                <w:rPr>
                  <w:rFonts w:ascii="Cambria Math" w:hAnsi="Cambria Math" w:eastAsiaTheme="minorHAnsi" w:cstheme="minorBidi"/>
                  <w:sz w:val="29"/>
                  <w:szCs w:val="29"/>
                  <w:highlight w:val="white"/>
                  <w:lang w:eastAsia="en-US"/>
                </w:rPr>
                <m:rPr/>
                <m:t>×КД</m:t>
              </m:r>
            </m:e>
          </m:d>
          <m:r>
            <w:rPr>
              <w:rFonts w:ascii="Cambria Math" w:hAnsi="Cambria Math" w:cs="Times New Roman"/>
              <w:sz w:val="28"/>
              <w:szCs w:val="24"/>
              <w:highlight w:val="white"/>
            </w:rPr>
            <m:rPr/>
            <m:t>+ БС×КД×КСЛП</m:t>
          </m:r>
        </m:oMath>
      </m:oMathPara>
      <w:r>
        <w:rPr>
          <w:highlight w:val="white"/>
        </w:rPr>
        <w:br/>
      </w:r>
      <w:r>
        <w:rPr>
          <w:rFonts w:ascii="Times New Roman" w:hAnsi="Times New Roman" w:cs="Times New Roman"/>
          <w:sz w:val="28"/>
          <w:szCs w:val="24"/>
          <w:highlight w:val="white"/>
        </w:rPr>
        <w:t xml:space="preserve">, </w:t>
      </w:r>
      <w:r>
        <w:rPr>
          <w:rFonts w:ascii="Times New Roman" w:hAnsi="Times New Roman" w:cs="Times New Roman"/>
          <w:sz w:val="32"/>
          <w:highlight w:val="white"/>
        </w:rPr>
        <w:t xml:space="preserve">где:</w:t>
      </w:r>
      <w:r>
        <w:rPr>
          <w:highlight w:val="white"/>
        </w:rPr>
      </w:r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22"/>
        <w:gridCol w:w="7794"/>
        <w:gridCol w:w="2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044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БС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96" w:type="dxa"/>
            <w:textDirection w:val="lrTb"/>
            <w:noWrap w:val="false"/>
          </w:tcPr>
          <w:p>
            <w:pPr>
              <w:pStyle w:val="1044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размер базовой ставки без учета коэффициента дифференциации, рублей;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044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КД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96" w:type="dxa"/>
            <w:textDirection w:val="lrTb"/>
            <w:noWrap w:val="false"/>
          </w:tcPr>
          <w:p>
            <w:pPr>
              <w:pStyle w:val="1044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коэффициент дифференциации, рассчитанный в соответствии с Постановлением № 462);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044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highlight w:val="white"/>
              </w:rPr>
            </w: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Cambria Math" w:eastAsia="Cambria Math"/>
                        <w:i/>
                        <w:sz w:val="28"/>
                        <w:highlight w:val="white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highlight w:val="white"/>
                        <w:vertAlign w:val="subscript"/>
                      </w:rPr>
                      <m:rPr/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highlight w:val="white"/>
                        <w:vertAlign w:val="subscript"/>
                      </w:rPr>
                      <m:rPr/>
                      <m:t>КСГ</m:t>
                    </m:r>
                  </m:sub>
                </m:sSub>
              </m:oMath>
            </m:oMathPara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96" w:type="dxa"/>
            <w:textDirection w:val="lrTb"/>
            <w:noWrap w:val="false"/>
          </w:tcPr>
          <w:p>
            <w:pPr>
              <w:pStyle w:val="1044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коэффициент относительной затратоемкости по КСГ, к которой отнесен данный случай госпитализации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;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044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highlight w:val="white"/>
              </w:rPr>
            </w: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Cambria Math" w:eastAsia="Cambria Math"/>
                        <w:i/>
                        <w:sz w:val="32"/>
                        <w:szCs w:val="28"/>
                        <w:highlight w:val="white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28"/>
                        <w:highlight w:val="white"/>
                      </w:rPr>
                      <m:rPr/>
                      <m:t>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28"/>
                        <w:highlight w:val="white"/>
                      </w:rPr>
                      <m:rPr/>
                      <m:t>ЗП</m:t>
                    </m:r>
                  </m:sub>
                </m:sSub>
              </m:oMath>
            </m:oMathPara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96" w:type="dxa"/>
            <w:textDirection w:val="lrTb"/>
            <w:noWrap w:val="false"/>
          </w:tcPr>
          <w:p>
            <w:pPr>
              <w:pStyle w:val="1044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доля заработной платы и прочих расходов в структуре стоимости КСГ установленная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Постановлением Правительства Российской Федерации от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29.12.2022 № 2497 «О Программе государственных гарантий бесплатного оказания гражданам медицинской помощи на 2023 го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д и на плановый период 2024 и 2025 годов»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 (приводится далее);</w:t>
            </w:r>
            <w:r>
              <w:rPr>
                <w:highlight w:val="white"/>
              </w:rPr>
            </w:r>
            <w:r/>
          </w:p>
        </w:tc>
      </w:tr>
      <w:tr>
        <w:trPr>
          <w:gridAfter w:val="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044"/>
              <w:jc w:val="center"/>
              <w:rPr>
                <w:rFonts w:cs="Times New Roman" w:eastAsia="Calibri"/>
                <w:highlight w:val="white"/>
              </w:rPr>
            </w:pPr>
            <w:r>
              <w:rPr>
                <w:highlight w:val="white"/>
              </w:rPr>
            </w: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eastAsiaTheme="minorHAnsi" w:cstheme="minorBidi"/>
                        <w:i/>
                        <w:sz w:val="29"/>
                        <w:szCs w:val="29"/>
                        <w:highlight w:val="white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eastAsiaTheme="minorHAnsi" w:cstheme="minorBidi"/>
                        <w:sz w:val="29"/>
                        <w:szCs w:val="29"/>
                        <w:highlight w:val="white"/>
                        <w:lang w:eastAsia="en-US"/>
                      </w:rPr>
                      <m:rPr>
                        <m:sty m:val="p"/>
                      </m:rPr>
                      <m:t>КС</m:t>
                    </m:r>
                  </m:e>
                  <m:sub>
                    <m:r>
                      <w:rPr>
                        <w:rFonts w:ascii="Cambria Math" w:hAnsi="Cambria Math" w:eastAsiaTheme="minorHAnsi" w:cstheme="minorBidi"/>
                        <w:sz w:val="29"/>
                        <w:szCs w:val="29"/>
                        <w:highlight w:val="white"/>
                        <w:lang w:eastAsia="en-US"/>
                      </w:rPr>
                      <m:rPr/>
                      <m:t>КСГ</m:t>
                    </m:r>
                  </m:sub>
                </m:sSub>
              </m:oMath>
            </m:oMathPara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94" w:type="dxa"/>
            <w:textDirection w:val="lrTb"/>
            <w:noWrap w:val="false"/>
          </w:tcPr>
          <w:p>
            <w:pPr>
              <w:pStyle w:val="1044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коэффициент специфики КСГ, к которой отнесен данный случай госпитализации (используется в расчетах, в случае если указанный коэффициент определен 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для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 данной КСГ);</w:t>
            </w:r>
            <w:r>
              <w:rPr>
                <w:highlight w:val="white"/>
              </w:rPr>
            </w:r>
            <w:r/>
          </w:p>
        </w:tc>
      </w:tr>
      <w:tr>
        <w:trPr>
          <w:gridAfter w:val="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044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highlight w:val="white"/>
              </w:rPr>
            </w: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eastAsiaTheme="minorHAnsi" w:cstheme="minorBidi"/>
                        <w:i/>
                        <w:sz w:val="29"/>
                        <w:szCs w:val="29"/>
                        <w:highlight w:val="white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eastAsiaTheme="minorHAnsi" w:cstheme="minorBidi"/>
                        <w:sz w:val="29"/>
                        <w:szCs w:val="29"/>
                        <w:highlight w:val="white"/>
                        <w:lang w:eastAsia="en-US"/>
                      </w:rPr>
                      <m:rPr/>
                      <m:t>КУС</m:t>
                    </m:r>
                  </m:e>
                  <m:sub>
                    <m:r>
                      <w:rPr>
                        <w:rFonts w:ascii="Cambria Math" w:hAnsi="Cambria Math" w:eastAsiaTheme="minorHAnsi" w:cstheme="minorBidi"/>
                        <w:sz w:val="29"/>
                        <w:szCs w:val="29"/>
                        <w:highlight w:val="white"/>
                        <w:lang w:eastAsia="en-US"/>
                      </w:rPr>
                      <m:rPr/>
                      <m:t>МО</m:t>
                    </m:r>
                  </m:sub>
                </m:sSub>
              </m:oMath>
            </m:oMathPara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94" w:type="dxa"/>
            <w:textDirection w:val="lrTb"/>
            <w:noWrap w:val="false"/>
          </w:tcPr>
          <w:p>
            <w:pPr>
              <w:pStyle w:val="1044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коэффициент подуровня медицинской организации, в которой был пролечен пациент;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044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КСЛП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96" w:type="dxa"/>
            <w:textDirection w:val="lrTb"/>
            <w:noWrap w:val="false"/>
          </w:tcPr>
          <w:p>
            <w:pPr>
              <w:pStyle w:val="1044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коэффициент сложности лечения пациента (при необходимости, сумма 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применяемых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 КСЛП).</w:t>
            </w:r>
            <w:r>
              <w:rPr>
                <w:highlight w:val="white"/>
              </w:rPr>
            </w:r>
            <w:r/>
          </w:p>
        </w:tc>
      </w:tr>
    </w:tbl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Доля заработной платы и прочих расходов в структуре стоимости КСГ, </w:t>
      </w:r>
      <w:r>
        <w:rPr>
          <w:rFonts w:ascii="Times New Roman" w:hAnsi="Times New Roman" w:cs="Times New Roman"/>
          <w:sz w:val="28"/>
          <w:highlight w:val="white"/>
        </w:rPr>
        <w:t xml:space="preserve">установленная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Постановлением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29.12.2022 № 2497 «О Программе государственных гарантий бесплатного оказания гражданам медицинской помощи на 2023 год и 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плановый период 2024 и 2025 годов»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представлена в таблице:</w:t>
      </w:r>
      <w:r>
        <w:rPr>
          <w:highlight w:val="white"/>
        </w:rPr>
      </w:r>
      <w:r/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1146"/>
        <w:gridCol w:w="8005"/>
        <w:gridCol w:w="1070"/>
      </w:tblGrid>
      <w:tr>
        <w:trPr>
          <w:trHeight w:val="90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№ КСГ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Наименование КСГ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Доля (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Дзп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ds02.008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Экстракорпоральное оплодотворение (уровень 1)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16,40%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ds02.009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Экстракорпоральное оплодотворение (уровень 2)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20,87%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ds02.010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Экстракорпоральное оплодотворение (уровень 3)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18,27%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ds02.011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Экстракорпоральное оплодотворение (уровень 4)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17,59%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ds06.002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Лечение дерматозов с применением наружной терапии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97,44%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ds06.003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Лечение дерматозов с применением наружной терапии, физиотерапии,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плазмафереза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96,30%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ds06.004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Лечение дерматозов с применением наружной и системной терапии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98,27%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ds06.005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Лечение дерматозов с применением наружной терапии и фототерапии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98,20%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ds12.012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Лечение хронического вирусного гепатита C (уровень 1)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10,88%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ds12.013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Лечение хронического вирусного гепатита C (уровень 2)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7,36%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ds12.014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Лечение хронического вирусного гепатита C (уровень 3)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5,17%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ds12.015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Лечение хронического вирусного гепатита C (ур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овень 4)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3,57%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ds19.058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Лучевая терапия в сочетании с лекарственной терапией (уровень 1)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78,38%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ds19.060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Лучевая терапия в сочетании с лекарственной терапией (уровень 3)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82,64%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ds19.061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Лучевая терапия в сочетании с лекарственной терапией (уровень 4)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31,86%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ds19.062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Лучевая терапия в сочетании с лекарственной терапией (уровень 5)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16,69%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ds19.067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ЗНО лимфоидной и кроветворной тканей, лекарственная терапия, взрослые (уровень 1)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62,10%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ds19.068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ЗНО лимфоидной и кроветворной тканей, лекарственная терапия, взрослые (уровень 2)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62,10%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ds19.069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ЗНО лимфоидной и кроветворной тканей, лекарственная терапия, взрослые (уровень 3)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62,10%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ds19.070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ЗНО лимфоидной и кроветворной тканей, лекарственная терапи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я, взрослые (уровень 4)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62,10%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ds19.071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(уровень 1)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6,02%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ds19.072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(уровень 2)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19,12%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ds19.073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ЗНО лимфоидной и кроветворной тканей, лекарственная терапия с применением отдельных препаратов (по перечню),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взрослые (уровень 3)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31,71%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ds19.074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(уровень 4)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41,49%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ds19.075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(уровень 5)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0,65%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ds19.076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ЗНО лимфоидной и кроветворной тканей, лекарственная терапия с применением отдельных препаратов (по перечню), в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зрослые (уровень 6)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2,59%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ds19.077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(уровень 7)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7,35%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ds19.078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(уровень 8)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10,33%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ds19.097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(уровень 1)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28,92%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ds19.098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13,19%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ds19.099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рной тканей), взрослые (уровень 3)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14,85%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ds19.100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28,77%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ds19.101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13,39%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ds19.102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ь 6)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4,88%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ds19.103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15,23%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ds19.104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15,06%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ds19.105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ь 9)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14,14%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ds19.106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23,12%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ds19.107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20,53%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ds19.108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нь 12)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4,11%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ds19.109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9,84%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ds19.110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аней), взрослые (уровень 14)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7,29%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ds19.111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3,48%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ds19.112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5,64%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ds19.113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6,61%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ds19.114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ь 18)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0,22%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ds19.115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19)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0,36%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ds20.006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Замена речевого процессора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0,23%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ds21.007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Операции на органе зрения (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факоэмульсификация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 с имплантацией ИОЛ)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10,32%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ds36.012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Проведение иммунизации против респираторно-синцитиальной вирусной инфекции (уровень 1)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1,09%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ds36.013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Проведение иммунизации против респираторно-синцитиальной вирусной инфекции (уровень 2)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0,51%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ds36.014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(инициация)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13,00%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ds36.015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Лечение с применением генно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-инженерных биологических препаратов и селективных иммунодепрессантов (уровень 1)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19,19%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ds36.016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2)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9,47%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ds36.017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3)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5,42%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ds36.018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4)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4,05%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ds36.019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е с применением генно-инженерных биологических препаратов и селективных иммунодепрессантов (уровень 5)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2,88%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ds36.020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6)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2,29%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ds36.021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7)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1,83%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ds36.022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8)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8,51%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ds36.023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е с применением генно-инженерных биологических препаратов и селективных иммунодепрессантов (уровень 9)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1,19%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ds36.024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10)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0,98%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ds36.025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11)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9,32%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ds36.026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12)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0,63%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ds36.027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ние с применением генно-инженерных биологических препаратов и селективных иммунодепрессантов (уровень 13)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6,20%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ds36.028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14)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2,11%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ds36.029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15)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0,29%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ds36.030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16)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0,19%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ds36.031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17)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0,09%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ds36.032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18)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0,08%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ds36.033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19)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0,04%</w:t>
            </w:r>
            <w:r>
              <w:rPr>
                <w:highlight w:val="white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ds36.034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0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20)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  <w:highlight w:val="white"/>
              </w:rPr>
              <w:t xml:space="preserve">0,02%</w:t>
            </w:r>
            <w:r>
              <w:rPr>
                <w:highlight w:val="white"/>
              </w:rPr>
            </w:r>
            <w:r/>
          </w:p>
        </w:tc>
      </w:tr>
    </w:tbl>
    <w:p>
      <w:pPr>
        <w:ind w:right="-57"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right="-57"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3.3.6. Порядок оплаты прерванных случаев оказания медицинской помощи </w:t>
      </w:r>
      <w:r>
        <w:rPr>
          <w:highlight w:val="white"/>
        </w:rPr>
      </w:r>
      <w:r/>
    </w:p>
    <w:p>
      <w:pPr>
        <w:ind w:right="-57" w:firstLine="709"/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 соответствии с Постановлением Правительства Российской Федерации от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29.12.2022 № 2497 «О Программе государственных гарантий бесплатного оказания гражданам медицинской помощи на 2023 г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од и на плановый период 2024 и 2025 годов»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 к прерванным случаям относятся: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1. случаи прерывания лечения по медицинским показаниям;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2. случаи лечения при переводе пациента из одного отделения медицинской организации в другое;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 случаи изменения условий ок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азания медицинской помощи (перевода пациента из условий дневного стационара в стационарные условия);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4. случаи перевода пациента в другую медицинскую организацию;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5. случаи лечения при преждевременной выписке пациента из медицинской организации в случае ег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 письменного отказа от дальнейшего лечения;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6. случаи лечения, закончившиеся летальным исходом;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7. 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8. законченные случаи лечения (не являющиеся прерванными по основаниям 1-7)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длительностью 3 дня и менее по КСГ, не включенным в перечень КСГ, для которых оптимальным сроком лечения является период менее 3 дней включительно.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В случае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,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если перевод пациента из одного отделения медицинской организации в другое обусловлен возникновен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ием (наличием) нового заболевания или состояния, относящегося к тому же классу МКБ-10, </w:t>
      </w:r>
      <w:r>
        <w:rPr>
          <w:rFonts w:ascii="Times New Roman" w:hAnsi="Times New Roman"/>
          <w:color w:val="000000" w:themeColor="text1"/>
          <w:sz w:val="28"/>
          <w:highlight w:val="white"/>
        </w:rPr>
        <w:br/>
        <w:t xml:space="preserve">что и диагноз основного заболевания, и (или) являющегося следствием закономерного прогрессирования основного заболевания, внутрибольничной инфекции или осложнением осно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вного заболевания, что не соответствует критериям оплаты случая госпитализации/лечения по двум КСГ, оплата производится в рамках одного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случая лечения по КСГ с наибольшим размером оплаты, а отнесение такого случая к прерванным по основанию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 перевода пациент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а из одного отделения медицинской организации в другое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не производится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При оплате случаев лечения, подлежащих оплате по 2 КСГ, случай до перевода не может считаться прерванным по основаниям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прерванности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2-4, если он подлежит оплате по 2 КСГ по следующим основаниям: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</w:rPr>
        <w:t xml:space="preserve">- проведение медицинской реабилитации пациента после завершен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ия лечения в той же медицинской организации по поводу заболевания, </w:t>
      </w:r>
      <w:r>
        <w:rPr>
          <w:rFonts w:ascii="Times New Roman" w:hAnsi="Times New Roman" w:cs="Times New Roman" w:eastAsia="Times New Roman"/>
          <w:sz w:val="28"/>
          <w:highlight w:val="white"/>
        </w:rPr>
        <w:br/>
        <w:t xml:space="preserve">по которому осуществлялось лечение;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</w:rPr>
        <w:t xml:space="preserve">- оказание медицинской помощи, связанной с установкой, заменой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порт-системы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 (катетера) для лекарственной терапии злокачественных новообразований с после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дующим проведением лекарственной терапии или после хирургического лечения в рамках одной госпитализации;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</w:rPr>
        <w:t xml:space="preserve">- этапное хирургическое лечение при злокачественных новообразованиях, не предусматривающее выписку пациента из стационара;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</w:rPr>
        <w:t xml:space="preserve">- проведение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реинфузии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ауток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рови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,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баллонной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 внутриаортальной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контрпульсации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 или экстракорпоральной мембранной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оксигенации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 на фоне лечения основного заболевания;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</w:rPr>
        <w:t xml:space="preserve">- дородовая госпитализация пациентки в отделение патологии беременности в случае пребывания в отделении патологии беременно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сти </w:t>
      </w:r>
      <w:r>
        <w:rPr>
          <w:rFonts w:ascii="Times New Roman" w:hAnsi="Times New Roman" w:cs="Times New Roman" w:eastAsia="Times New Roman"/>
          <w:sz w:val="28"/>
          <w:highlight w:val="white"/>
        </w:rPr>
        <w:br/>
        <w:t xml:space="preserve">в течение 6 дней и более с последующим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родоразрешением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</w:rPr>
        <w:t xml:space="preserve">- наличие у пациента тяжелой сопутствующей патологии, требующей </w:t>
      </w:r>
      <w:r>
        <w:rPr>
          <w:rFonts w:ascii="Times New Roman" w:hAnsi="Times New Roman" w:cs="Times New Roman" w:eastAsia="Times New Roman"/>
          <w:sz w:val="28"/>
          <w:highlight w:val="white"/>
        </w:rPr>
        <w:br/>
        <w:t xml:space="preserve">в ходе оказания медицинской помощи в период госпитализации имплантации в организм пациента медицинского изделия;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</w:rPr>
        <w:t xml:space="preserve">- проведение имму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низации против респираторно-синцитиальной вирусной инфекции в период госпитализации по поводу лечения нарушений, возникающих в перинатальном периоде, являющихся показанием </w:t>
      </w:r>
      <w:r>
        <w:rPr>
          <w:rFonts w:ascii="Times New Roman" w:hAnsi="Times New Roman" w:cs="Times New Roman" w:eastAsia="Times New Roman"/>
          <w:sz w:val="28"/>
          <w:highlight w:val="white"/>
        </w:rPr>
        <w:br/>
        <w:t xml:space="preserve">к иммунизации;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</w:rPr>
        <w:t xml:space="preserve">- проведение антимикробной терапии инфекций, вызванных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полирезистент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ными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 микроорганизмами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eastAsia="en-US"/>
        </w:rPr>
        <w:t xml:space="preserve">Перечень КСГ с оптимальной длительностью лечения до 3 дней включительно:</w:t>
      </w:r>
      <w:r>
        <w:rPr>
          <w:highlight w:val="white"/>
        </w:rPr>
      </w:r>
      <w:r/>
    </w:p>
    <w:tbl>
      <w:tblPr>
        <w:tblW w:w="10043" w:type="dxa"/>
        <w:tblLook w:val="04A0" w:firstRow="1" w:lastRow="0" w:firstColumn="1" w:lastColumn="0" w:noHBand="0" w:noVBand="1"/>
      </w:tblPr>
      <w:tblGrid>
        <w:gridCol w:w="1149"/>
        <w:gridCol w:w="8894"/>
      </w:tblGrid>
      <w:tr>
        <w:trPr>
          <w:trHeight w:val="31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  <w:lang w:val="en-US"/>
              </w:rPr>
              <w:t xml:space="preserve">№ КСГ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  <w:lang w:val="en-US"/>
              </w:rPr>
              <w:t xml:space="preserve">Наименование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  <w:lang w:val="en-US"/>
              </w:rPr>
              <w:t xml:space="preserve"> КСГ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ds02.001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Осложнения беременности, родов, послеродового периода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ds02.006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Искусственное прерывание беременности (аборт)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ds02.007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Аборт медикаментозный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ds02.008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Экстракорпоральное оплодотворение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ds05.005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доброкачественных заболеваниях крови и пузырном заносе</w:t>
            </w:r>
            <w:r>
              <w:rPr>
                <w:highlight w:val="white"/>
              </w:rPr>
            </w:r>
            <w:r/>
          </w:p>
        </w:tc>
      </w:tr>
      <w:tr>
        <w:trPr>
          <w:trHeight w:val="6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ds08.001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дети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ds08.002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остром лейкозе, дети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ds08.003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других злокачественных новообразованиях лимфоидной и кроветворной тканей, дети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ds15.002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Неврологические заболевания, лечение с применением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ботулотоксина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ds15.003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Неврологические заболевания, лечение с применением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бот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улотоксина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ds19.028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Установка, замена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порт-системы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(катетера) для лекарственной терапии злокачественных новообразований</w:t>
            </w:r>
            <w:r>
              <w:rPr>
                <w:highlight w:val="white"/>
              </w:rPr>
            </w:r>
            <w:r/>
          </w:p>
        </w:tc>
      </w:tr>
      <w:tr>
        <w:trPr>
          <w:trHeight w:val="6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ds19.033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Госпитализация в диагностических целях с проведением молекулярно-генетического и (или)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иммуногистохимического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исс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ледования или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иммунофенотипирования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ds19.057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Лучевая терапия (уровень 8)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ds19.063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ЗНО лимфоидной и кроветворной тканей без специального противоопухолевого лечения (уровень 1) &lt;*&gt;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ds19.067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ЗНО лимфоидной и кроветворной тканей, лекарственная терапия, взрослые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ds19.071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ds19.075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(уровень 5)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ds19.097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ds19.098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ds19.099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е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ds19.100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ds19.101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ds19.102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s19.103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ds19.104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нь 8)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ds19.105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ds19.106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е (уровень 10)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ds19.107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ds19.108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ds19.109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ds19.110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ds19.111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овень 15)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ds19.112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ds19.113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</w:t>
            </w:r>
            <w:r>
              <w:rPr>
                <w:highlight w:val="white"/>
              </w:rPr>
            </w:r>
            <w:r/>
          </w:p>
        </w:tc>
      </w:tr>
      <w:tr>
        <w:trPr>
          <w:trHeight w:val="6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ds19.114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18)</w:t>
            </w:r>
            <w:r>
              <w:rPr>
                <w:highlight w:val="white"/>
              </w:rPr>
            </w:r>
            <w:r/>
          </w:p>
        </w:tc>
      </w:tr>
      <w:tr>
        <w:trPr>
          <w:trHeight w:val="6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ds19.115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19)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ds20.002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органе слуха, придаточных пазухах носа и верхних дыхательных путях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ds20.003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органе слуха, придаточных пазухах носа и верхних дыхательных путях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ds20.006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Замена речевого процессора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ds21.002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органе зрения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ds21.003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органе зрения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ds21.004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органе зрения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ds21.005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органе зрения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ds21.006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органе зрения (уровень 5)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ds21.007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органе зрения (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факоэмульсификация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с имплантацией ИОЛ)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ds25.001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Диагностическое обследование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сердечно-сосудистой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системы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ds27.001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Отравления и другие воздействия внешних причин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ds34.002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Операции на органах полости рта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ds36.001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Комплексное лечение с применением препаратов иммуноглобулина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ds36.012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Проведение иммунизации против респир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аторно-синцитиальной вирусной инфекции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ds36.013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Проведение иммунизации против респираторно-синцитиальной вирусной инфекции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ds36.015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ds36.016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ds36.017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ds36.018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ds36.019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ием генно-инженерных биологических препаратов и селективных иммунодепрессантов (уровень 5)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ds36.020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6)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ds36.021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ых биологических препаратов и селективных иммунодепрессантов (уровень 7)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ds36.022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8)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ds36.023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9)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ds36.024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10)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ds36.025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нием генно-инженерных биологических препаратов и селективных иммунодепрессантов (уровень 11)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ds36.026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ds36.027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ерных биологических препаратов и селективных иммунодепрессантов (уровень 13)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ds36.028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ds36.029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15)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ds36.030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16)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ds36.031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17)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ds36.032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18)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ds36.033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ением генно-инженерных биологических препаратов и селективных иммунодепрессантов (уровень 19)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ds36.034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генно-инженерных биологических препаратов и селективных иммунодепрессантов (уровень 20)</w:t>
            </w:r>
            <w:r>
              <w:rPr>
                <w:highlight w:val="white"/>
              </w:rPr>
            </w:r>
            <w:r/>
          </w:p>
        </w:tc>
      </w:tr>
      <w:tr>
        <w:trPr>
          <w:trHeight w:val="6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ds36.035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Лечение с применением методов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афереза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 (каскадная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плазмофильтрация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, липидная фильтрация, 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иммуносорбция</w:t>
            </w:r>
            <w:r>
              <w:rPr>
                <w:rFonts w:ascii="Times New Roman" w:hAnsi="Times New Roman" w:cs="Times New Roman" w:eastAsia="Times New Roman"/>
                <w:color w:val="000000"/>
                <w:sz w:val="22"/>
                <w:szCs w:val="22"/>
                <w:highlight w:val="white"/>
              </w:rPr>
              <w:t xml:space="preserve">) в случае отсутствия эффективности базисной терапии</w:t>
            </w:r>
            <w:r>
              <w:rPr>
                <w:highlight w:val="white"/>
              </w:rPr>
            </w:r>
            <w:r/>
          </w:p>
        </w:tc>
      </w:tr>
    </w:tbl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&lt;*&gt;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4"/>
          <w:szCs w:val="24"/>
          <w:highlight w:val="white"/>
        </w:rPr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Законченный случай оказания медицинской помощи 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по данным КСГ не может быть отнесен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к прерванным случа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ям по основаниям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, связанным с длительностью лечения,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и оплачивается в полном объеме независимо от длительности лечения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. При этом в случае наличия оснований 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прерванности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, не связанных с длительностью лечения, случай оказания медицинской помощи оплачивается </w:t>
      </w:r>
      <w:r>
        <w:rPr>
          <w:rFonts w:ascii="Times New Roman" w:hAnsi="Times New Roman" w:cs="Times New Roman"/>
          <w:color w:val="000000" w:themeColor="text1"/>
          <w:sz w:val="28"/>
          <w:highlight w:val="white"/>
        </w:rPr>
        <w:t xml:space="preserve">как прерванный на общих основаниях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Размеры оплаты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случаев оказания медицинской помощи, являющихся прерванными определяется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следующим образом.</w:t>
      </w:r>
      <w:r>
        <w:rPr>
          <w:highlight w:val="white"/>
        </w:rPr>
      </w:r>
      <w:r/>
    </w:p>
    <w:p>
      <w:pPr>
        <w:ind w:right="-57"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 случае если пациенту была выполнена хирургическая операция и (или) проведена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тромболитическая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терапия, являющиеся классификационными критериями отнесения данных случаев лечения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конкретным КСГ, случай оплачивается в размере:</w:t>
      </w:r>
      <w:r>
        <w:rPr>
          <w:highlight w:val="white"/>
        </w:rPr>
      </w:r>
      <w:r/>
    </w:p>
    <w:p>
      <w:pPr>
        <w:numPr>
          <w:ilvl w:val="0"/>
          <w:numId w:val="5"/>
        </w:numPr>
        <w:ind w:right="-57"/>
        <w:jc w:val="both"/>
        <w:rPr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при длительности лечения 3 дня и менее – 80% от стоимости КСГ;</w:t>
      </w:r>
      <w:r>
        <w:rPr>
          <w:highlight w:val="white"/>
        </w:rPr>
      </w:r>
      <w:r/>
    </w:p>
    <w:p>
      <w:pPr>
        <w:numPr>
          <w:ilvl w:val="0"/>
          <w:numId w:val="5"/>
        </w:numPr>
        <w:ind w:right="-57"/>
        <w:jc w:val="both"/>
        <w:rPr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при длительности лечения более 3-х дней – 90% от стоимости КСГ.</w:t>
      </w:r>
      <w:r>
        <w:rPr>
          <w:highlight w:val="white"/>
        </w:rPr>
      </w:r>
      <w:r/>
    </w:p>
    <w:p>
      <w:pPr>
        <w:ind w:right="-57" w:firstLine="709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Если хирургическое лечение и (или)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тромболитическая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терапия не проводились, случай оплачивается в размере:</w:t>
      </w:r>
      <w:r>
        <w:rPr>
          <w:highlight w:val="white"/>
        </w:rPr>
      </w:r>
      <w:r/>
    </w:p>
    <w:p>
      <w:pPr>
        <w:numPr>
          <w:ilvl w:val="0"/>
          <w:numId w:val="5"/>
        </w:numPr>
        <w:ind w:right="-57"/>
        <w:jc w:val="both"/>
        <w:rPr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при длительности лечен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ия 3 дня и менее – 20% от стоимости КСГ;</w:t>
      </w:r>
      <w:r>
        <w:rPr>
          <w:highlight w:val="white"/>
        </w:rPr>
      </w:r>
      <w:r/>
    </w:p>
    <w:p>
      <w:pPr>
        <w:numPr>
          <w:ilvl w:val="0"/>
          <w:numId w:val="5"/>
        </w:numPr>
        <w:ind w:right="-57"/>
        <w:jc w:val="both"/>
        <w:rPr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при длительности лечения более 3-х дней – 80% от стоимости КСГ.</w:t>
      </w:r>
      <w:r>
        <w:rPr>
          <w:highlight w:val="white"/>
        </w:rPr>
      </w:r>
      <w:r/>
    </w:p>
    <w:p>
      <w:pPr>
        <w:ind w:left="562" w:right="-57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center"/>
        <w:spacing w:after="200" w:line="276" w:lineRule="auto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Перечень КСГ дневного стационара, 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которые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 предполагают хирургическое лечение или 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тромболитическую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 терапию</w:t>
      </w:r>
      <w:r>
        <w:rPr>
          <w:highlight w:val="white"/>
        </w:rPr>
      </w:r>
      <w:r/>
    </w:p>
    <w:tbl>
      <w:tblPr>
        <w:tblW w:w="10168" w:type="dxa"/>
        <w:tblInd w:w="93" w:type="dxa"/>
        <w:tblLook w:val="04A0" w:firstRow="1" w:lastRow="0" w:firstColumn="1" w:lastColumn="0" w:noHBand="0" w:noVBand="1"/>
      </w:tblPr>
      <w:tblGrid>
        <w:gridCol w:w="1090"/>
        <w:gridCol w:w="9133"/>
      </w:tblGrid>
      <w:tr>
        <w:trPr>
          <w:trHeight w:val="322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  <w:t xml:space="preserve">№ КСГ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  <w:t xml:space="preserve">Наименование КСГ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ds02.003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женских половых органах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ds02.004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женских половых органах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ds02.006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Искусственное прерывание беременности (аборт)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ds09.001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мужских половых органах, дети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ds09.002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почке и мочевыделительной системе, дети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ds10.001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по поводу грыж, дети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ds13.002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Болезни системы кровообращения с применением инвазивных методов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ds14.001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кишечнике и анальной области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ds14.002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кишечнике и анальной области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ds16.002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периферической нервной системе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ds18.003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Формирование, имплантация, удаление, смена доступа для диализа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ds19.016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при злокачественных новообразованиях кожи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9.017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при злокачественных новообразованиях кожи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ds19.028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Установка, замена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порт-системы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(катетера) для лекарственной терапии злокачественных новообразований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ds20.002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органе слуха, придаточных пазухах носа и верхних дыхательных путях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ds20.003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органе слуха, придаточных пазухах носа и верхних дыхательных путях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ds20.004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органе слуха, придаточных пазухах носа и 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ерхних дыхательных путях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ds20.005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органе слуха, придаточных пазухах носа и верхних дыхательных путях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ds20.006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Замена речевого процессора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ds21.002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органе зрения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ds21.003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органе зрения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ds21.004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органе зрения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ds21.005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органе зрения (уровень 4)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ds21.006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органе зрения (уровень 5)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ds21.007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органе зрения 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факоэмульсификация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с имплантацией ИОЛ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ds25.001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Диагностическое обследование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сердечно-сосудистой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 системы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ds25.002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сосудах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ds25.003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сосудах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ds28.001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нижних дыхательных путях и легочной ткани, органах средостения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ds29.001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костно-мышечной системе и суставах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ds29.002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костно-мышечной системе и суставах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ds29.003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костно-мышечной системе и суставах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ds30.002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мужских половых органах, взрослые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ds30.003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мужских половых органах, взрослые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ds30.004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почке и мочевыделительной системе, взрослые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ds30.005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почке и мочевыделительной сист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еме, взрослые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ds30.006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почке и мочевыделительной системе, взрослые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ds31.002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коже, подкожной клетчатке, придатках кожи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ds31.003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коже, подкожной клетчатке, придатках кожи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ds31.004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коже, подкожной клетчатке, придатках кожи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ds31.005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органах кроветворения и иммунной системы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ds31.006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молочной железе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ds32.001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пищеводе, желудке, двенадцатиперстной кишке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ds32.002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пищеводе, желудке, двенадцатиперстной кишке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ds32.003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по поводу грыж, взрослые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ds32.004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по поводу грыж, взрослые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ds32.005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по поводу грыж, взрослые (уровень 3)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ds32.006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перации на желчном пузыре и желчевыводящих путях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ds32.007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Другие операции на органах брюшной полости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ds32.008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Другие операции на органах брюшной полости (уровень 2)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ds34.002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органах полости рта (уровень 1)</w:t>
            </w:r>
            <w:r>
              <w:rPr>
                <w:highlight w:val="white"/>
              </w:rPr>
            </w:r>
            <w:r/>
          </w:p>
        </w:tc>
      </w:tr>
      <w:tr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ds34.003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Операции на органах полости рта (уровень 2)</w:t>
            </w:r>
            <w:r>
              <w:rPr>
                <w:highlight w:val="white"/>
              </w:rPr>
            </w:r>
            <w:r/>
          </w:p>
        </w:tc>
      </w:tr>
    </w:tbl>
    <w:p>
      <w:pPr>
        <w:ind w:right="-6" w:firstLine="539"/>
        <w:jc w:val="both"/>
        <w:tabs>
          <w:tab w:val="left" w:pos="9920" w:leader="none"/>
        </w:tabs>
        <w:rPr>
          <w:rFonts w:ascii="Times New Roman" w:hAnsi="Times New Roman" w:cs="Times New Roman" w:eastAsia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</w:rPr>
        <w:t xml:space="preserve">Случаи проведения лекарственной терапии пациентам в возрасте 18 лет и старше и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случаи медицинской реабилитации, являющиеся прерванными по основаниям 7 и 9 оплачиваются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 аналогично случаям лечения, когда хирургиче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ское вмешательство и (или)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тромболитическая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 терапия не проводились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ind w:left="20" w:right="20" w:firstLine="70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851"/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3.4. Тарифы на оплату скорой медицинской помощи</w:t>
      </w:r>
      <w:r>
        <w:rPr>
          <w:highlight w:val="white"/>
        </w:rPr>
      </w:r>
      <w:r/>
    </w:p>
    <w:p>
      <w:pPr>
        <w:ind w:firstLine="851"/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Коэффициенты, применяемые при расчете подушевых нормативов скорой медицинской помощи, а так же фактические дифференцированные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подушевые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нормативы финансирования в разрезе медицинских организаций представлены в приложении №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20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к Тарифному соглашению.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/>
          <w:sz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highlight w:val="white"/>
        </w:rPr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Базов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ый норматив финансовых затрат на единицу объема 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2023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год:</w:t>
      </w:r>
      <w:r>
        <w:rPr>
          <w:highlight w:val="white"/>
        </w:rPr>
      </w:r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441"/>
        <w:gridCol w:w="1985"/>
        <w:gridCol w:w="1559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Вид медицинской помощи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Единица объема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Базовый норматив финансовых затрат на единицу объема, руб.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Скорая медицинская помощь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вызов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3 288,90</w:t>
            </w:r>
            <w:r>
              <w:rPr>
                <w:highlight w:val="white"/>
              </w:rPr>
            </w:r>
            <w:r/>
          </w:p>
        </w:tc>
      </w:tr>
    </w:tbl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3.4.1. Размер </w:t>
      </w:r>
      <w:r>
        <w:rPr>
          <w:rFonts w:ascii="Times New Roman" w:hAnsi="Times New Roman"/>
          <w:sz w:val="28"/>
          <w:szCs w:val="28"/>
          <w:highlight w:val="white"/>
        </w:rPr>
        <w:t xml:space="preserve">среднего подушевого норматива финансирования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скорой медицинской помощи на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2023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год составляет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924,80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руб. 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3.4.2. Размер базового подушевого норматива финансирования скорой медицинской помощи на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2023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год –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924,80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руб.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trike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trike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3.4.3. Половозрастные коэффициенты дифференциации подушевого норматива финансирования скорой медицинской помощи на 2023 год:</w:t>
      </w:r>
      <w:r>
        <w:rPr>
          <w:highlight w:val="white"/>
        </w:rPr>
      </w:r>
      <w:r/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tbl>
      <w:tblPr>
        <w:tblW w:w="10097" w:type="dxa"/>
        <w:tblInd w:w="93" w:type="dxa"/>
        <w:tblLook w:val="04A0" w:firstRow="1" w:lastRow="0" w:firstColumn="1" w:lastColumn="0" w:noHBand="0" w:noVBand="1"/>
      </w:tblPr>
      <w:tblGrid>
        <w:gridCol w:w="1821"/>
        <w:gridCol w:w="1655"/>
        <w:gridCol w:w="1655"/>
        <w:gridCol w:w="1655"/>
        <w:gridCol w:w="1655"/>
        <w:gridCol w:w="1656"/>
      </w:tblGrid>
      <w:tr>
        <w:trPr>
          <w:trHeight w:val="138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  <w:t xml:space="preserve">Пол</w:t>
            </w:r>
            <w:r>
              <w:rPr>
                <w:highlight w:val="white"/>
              </w:rPr>
            </w:r>
            <w:r/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  <w:t xml:space="preserve">Возраст, лет</w:t>
            </w:r>
            <w:r>
              <w:rPr>
                <w:highlight w:val="white"/>
              </w:rPr>
            </w:r>
            <w:r/>
          </w:p>
        </w:tc>
      </w:tr>
      <w:tr>
        <w:trPr>
          <w:trHeight w:val="13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yellow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  <w:t xml:space="preserve">От 0 до 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  <w:t xml:space="preserve">От 1 до 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  <w:t xml:space="preserve">От 5 до 17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  <w:t xml:space="preserve">18-64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  <w:t xml:space="preserve">65 и старше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yellow"/>
              </w:rPr>
            </w:r>
            <w:r/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коэффициенты дифференциации подушевого норматива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highlight w:val="white"/>
              </w:rPr>
              <w:t xml:space="preserve">скорой медицинской помощи</w:t>
            </w:r>
            <w:r>
              <w:rPr>
                <w:highlight w:val="white"/>
              </w:rPr>
            </w:r>
            <w:r/>
          </w:p>
        </w:tc>
      </w:tr>
      <w:tr>
        <w:trPr>
          <w:trHeight w:val="333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  <w:t xml:space="preserve">Мужчины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2,740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1,666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0,445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0,726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1,868</w:t>
            </w:r>
            <w:r>
              <w:rPr>
                <w:highlight w:val="white"/>
              </w:rPr>
            </w:r>
            <w:r/>
          </w:p>
        </w:tc>
      </w:tr>
      <w:tr>
        <w:trPr>
          <w:trHeight w:val="333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  <w:t xml:space="preserve">Женщины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2,568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1,466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0,432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0,725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2,334</w:t>
            </w:r>
            <w:r>
              <w:rPr>
                <w:highlight w:val="white"/>
              </w:rPr>
            </w:r>
            <w:r/>
          </w:p>
        </w:tc>
      </w:tr>
    </w:tbl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3.4.4. Тарифы на оплату вызовов скорой медицинской помощи на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2023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год:</w:t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tbl>
      <w:tblPr>
        <w:tblStyle w:val="1031"/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8046"/>
        <w:gridCol w:w="1843"/>
      </w:tblGrid>
      <w:tr>
        <w:trPr/>
        <w:tc>
          <w:tcPr>
            <w:tcW w:w="8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Вид вызова</w:t>
            </w:r>
            <w:r>
              <w:rPr>
                <w:highlight w:val="white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Тариф, руб.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gridSpan w:val="2"/>
            <w:tcW w:w="98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 базовой программе ОМС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804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Вызов врачебной бригады</w:t>
            </w:r>
            <w:r>
              <w:rPr>
                <w:highlight w:val="whit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</w:rPr>
              <w:t xml:space="preserve">3 735,59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804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Вызов фельдшерской бригады</w:t>
            </w:r>
            <w:r>
              <w:rPr>
                <w:highlight w:val="whit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</w:rPr>
              <w:t xml:space="preserve">3 168,17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804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Вызов врачебной бригады при остром коронарном синдроме и остром ишемическом инсульте с проведением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тромболитической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терапии</w:t>
            </w:r>
            <w:r>
              <w:rPr>
                <w:highlight w:val="whit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</w:rPr>
              <w:t xml:space="preserve">85 775,81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804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Вызов фельдшерской бригады при остром коронарном синдроме и остром ишемическом инсульте с проведением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тромболитической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терапии</w:t>
            </w:r>
            <w:r>
              <w:rPr>
                <w:highlight w:val="whit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</w:rPr>
              <w:t xml:space="preserve">85 208,39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804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Оказание скорой медицинской помощи врачом в случае самообращения на станцию скорой медицинской помощи</w:t>
            </w:r>
            <w:r>
              <w:rPr>
                <w:highlight w:val="whit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</w:rPr>
              <w:t xml:space="preserve">933,91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804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Оказание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скорой медицинской помощи фельдшером в случае самообращения на станцию скорой медицинской помощи</w:t>
            </w:r>
            <w:r>
              <w:rPr>
                <w:highlight w:val="whit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</w:rPr>
              <w:t xml:space="preserve">792,05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Сверх базовой программы ОМС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4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Вызов врачебной бригады для больных психоневрологического профиля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</w:rPr>
              <w:t xml:space="preserve">3 759,06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4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Вызов фельдшерской бригады для больных психоневрологического профиля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 w:eastAsia="Times New Roman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</w:rPr>
              <w:t xml:space="preserve">3 188,07</w:t>
            </w:r>
            <w:r>
              <w:rPr>
                <w:highlight w:val="white"/>
              </w:rPr>
            </w:r>
            <w:r/>
          </w:p>
        </w:tc>
      </w:tr>
    </w:tbl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Тарифы стоимости вызова скорой медицинской помощи в рамках базовой программы ОМС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применяются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в том числе для осуществления межтерриториальных расчетов.</w:t>
      </w:r>
      <w:r>
        <w:rPr>
          <w:highlight w:val="white"/>
        </w:rPr>
      </w:r>
      <w:r/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4. Размер неоплаты или неполной оплаты затрат на оказание медицинской помощи в рамках территориальной программы обязательного медицинского страхования, а также уплаты медицинской организацией штрафов за неоказание, несвоевременное оказание либо оказание ме</w:t>
      </w: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дицинской помощи ненадлежащего качества</w:t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Общий размер санкций (С), применяемых к медицинским организациям, рассчитывается по формуле: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248410" cy="241300"/>
                <wp:effectExtent l="0" t="0" r="0" b="0"/>
                <wp:docPr id="2" name="image4.png" descr="Описание: base_1_187078_9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 descr="Описание: base_1_187078_9" hidden="0"/>
                        <pic:cNvPicPr/>
                        <pic:nvPr isPhoto="0" userDrawn="0"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1248409" cy="2413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98.3pt;height:19.0pt;">
                <v:path textboxrect="0,0,0,0"/>
                <v:imagedata r:id="rId17" o:title=""/>
              </v:shape>
            </w:pict>
          </mc:Fallback>
        </mc:AlternateContent>
      </w:r>
      <w:r>
        <w:rPr>
          <w:highlight w:val="white"/>
        </w:rPr>
      </w:r>
      <w:r/>
    </w:p>
    <w:p>
      <w:pPr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где: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 - размер неоплаты или неполной оплаты затрат медицинской организации на оказание медицинской помощи;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69240" cy="229870"/>
                <wp:effectExtent l="0" t="0" r="0" b="0"/>
                <wp:docPr id="3" name="image5.png" descr="Описание: base_1_187078_10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 descr="Описание: base_1_187078_10" hidden="0"/>
                        <pic:cNvPicPr/>
                        <pic:nvPr isPhoto="0" userDrawn="0"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269240" cy="2298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21.2pt;height:18.1pt;">
                <v:path textboxrect="0,0,0,0"/>
                <v:imagedata r:id="rId18" o:title=""/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-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качества.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Размер неоплаты или неполной оплаты затрат медицинской организации на оказание медицинской помощи (Н)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рассчитывается по формуле: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11225" cy="312420"/>
                <wp:effectExtent l="0" t="0" r="0" b="0"/>
                <wp:docPr id="4" name="image3.png" descr="Описание: base_1_187078_11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Описание: base_1_187078_11" hidden="0"/>
                        <pic:cNvPicPr/>
                        <pic:nvPr isPhoto="0" userDrawn="0"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911225" cy="3124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71.8pt;height:24.6pt;">
                <v:path textboxrect="0,0,0,0"/>
                <v:imagedata r:id="rId19" o:title=""/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,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где: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РТ - размер тарифа на оплату медицинской помощи, действующий на дату оказания медицинской помощи;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43840" cy="228600"/>
                <wp:effectExtent l="0" t="0" r="0" b="0"/>
                <wp:docPr id="5" name="image6.png" descr="Описание: base_1_187078_1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png" descr="Описание: base_1_187078_12" hidden="0"/>
                        <pic:cNvPicPr/>
                        <pic:nvPr isPhoto="0" userDrawn="0"/>
                      </pic:nvPicPr>
                      <pic:blipFill>
                        <a:blip r:embed="rId20"/>
                        <a:stretch/>
                      </pic:blipFill>
                      <pic:spPr bwMode="auto">
                        <a:xfrm>
                          <a:off x="0" y="0"/>
                          <a:ext cx="243840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mso-wrap-distance-left:0.0pt;mso-wrap-distance-top:0.0pt;mso-wrap-distance-right:0.0pt;mso-wrap-distance-bottom:0.0pt;width:19.2pt;height:18.0pt;">
                <v:path textboxrect="0,0,0,0"/>
                <v:imagedata r:id="rId20" o:title=""/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ощи либо уменьшению оплаты медицинской помощи.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Если стоимость случая,</w:t>
      </w:r>
      <w:r>
        <w:rPr>
          <w:color w:val="000000" w:themeColor="text1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подлежащего неоплате (неполной оплате) </w:t>
      </w:r>
      <w:r>
        <w:rPr>
          <w:rFonts w:ascii="Times New Roman" w:hAnsi="Times New Roman"/>
          <w:color w:val="000000" w:themeColor="text1"/>
          <w:sz w:val="28"/>
          <w:highlight w:val="white"/>
        </w:rPr>
        <w:br/>
        <w:t xml:space="preserve">не является тарифом, утвержденным тарифным соглашением, или получена расчетным путем, в том числе с использованием доли оплаты прерванных случаев,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то параметр РТ следует понимать как сумму, выставленную к оплате по законченному случаю лечения.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бующего его замены,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Размер штрафа, применяемого к медицинской организации за неоказание, несвое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временное оказание либо оказание медицинской помощи ненадлежащего качества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(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73380" cy="327025"/>
                <wp:effectExtent l="0" t="0" r="0" b="0"/>
                <wp:docPr id="6" name="image2.png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hidden="0"/>
                        <pic:cNvPicPr/>
                        <pic:nvPr isPhoto="0" userDrawn="0"/>
                      </pic:nvPicPr>
                      <pic:blipFill>
                        <a:blip r:embed="rId21"/>
                        <a:stretch/>
                      </pic:blipFill>
                      <pic:spPr bwMode="auto">
                        <a:xfrm>
                          <a:off x="0" y="0"/>
                          <a:ext cx="373380" cy="3270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mso-wrap-distance-left:0.0pt;mso-wrap-distance-top:0.0pt;mso-wrap-distance-right:0.0pt;mso-wrap-distance-bottom:0.0pt;width:29.4pt;height:25.8pt;">
                <v:path textboxrect="0,0,0,0"/>
                <v:imagedata r:id="rId21" o:title=""/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),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рассчитывается по формуле: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478915" cy="327025"/>
                <wp:effectExtent l="0" t="0" r="0" b="0"/>
                <wp:docPr id="7" name="image1.png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hidden="0"/>
                        <pic:cNvPicPr/>
                        <pic:nvPr isPhoto="0" userDrawn="0"/>
                      </pic:nvPicPr>
                      <pic:blipFill>
                        <a:blip r:embed="rId22"/>
                        <a:stretch/>
                      </pic:blipFill>
                      <pic:spPr bwMode="auto">
                        <a:xfrm>
                          <a:off x="0" y="0"/>
                          <a:ext cx="1478915" cy="3270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mso-wrap-distance-left:0.0pt;mso-wrap-distance-top:0.0pt;mso-wrap-distance-right:0.0pt;mso-wrap-distance-bottom:0.0pt;width:116.4pt;height:25.8pt;">
                <v:path textboxrect="0,0,0,0"/>
                <v:imagedata r:id="rId22" o:title=""/>
              </v:shape>
            </w:pict>
          </mc:Fallback>
        </mc:AlternateConten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1) при оказании медицинской помощи в амбулаторных условиях: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vertAlign w:val="subscript"/>
        </w:rPr>
        <w:t xml:space="preserve">шт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= РП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vertAlign w:val="subscript"/>
        </w:rPr>
        <w:t xml:space="preserve">А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x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vertAlign w:val="subscript"/>
        </w:rPr>
        <w:t xml:space="preserve">шт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,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где:</w:t>
      </w:r>
      <w:r>
        <w:rPr>
          <w:highlight w:val="white"/>
        </w:rPr>
      </w:r>
      <w:r/>
    </w:p>
    <w:p>
      <w:pPr>
        <w:ind w:firstLine="540"/>
        <w:jc w:val="both"/>
        <w:spacing w:before="22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РП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vertAlign w:val="subscript"/>
        </w:rPr>
        <w:t xml:space="preserve">А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подушевой норматив финансирования медицинской помощи, оказанной в амбулаторных условиях,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установленый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Территориальной программой государственных гарантий бесплатного оказания гражданам на территории Липецкой области медицинской помощи на дату проведения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контроля объемов, сроков, качества и условий предоставления медицинской помощи в соответствии с порядком организации и проведения контроля (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6082,60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руб.);</w:t>
      </w:r>
      <w:r>
        <w:rPr>
          <w:highlight w:val="white"/>
        </w:rPr>
      </w:r>
      <w:r/>
    </w:p>
    <w:p>
      <w:pPr>
        <w:ind w:firstLine="540"/>
        <w:jc w:val="both"/>
        <w:spacing w:before="22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vertAlign w:val="subscript"/>
        </w:rPr>
        <w:t xml:space="preserve">шт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- коэффициент для определения размера штрафа по основанию для начисления штрафа за неоказание, не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своевременное оказание либо оказание медицинской помощи ненадлежащего качества;</w:t>
      </w:r>
      <w:r>
        <w:rPr>
          <w:highlight w:val="white"/>
        </w:rPr>
      </w:r>
      <w:r/>
    </w:p>
    <w:p>
      <w:pPr>
        <w:ind w:firstLine="540"/>
        <w:jc w:val="both"/>
        <w:spacing w:before="22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2) при оказании скорой медицинской помощи вне медицинской организации:</w:t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vertAlign w:val="subscript"/>
        </w:rPr>
        <w:t xml:space="preserve">шт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= РП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vertAlign w:val="subscript"/>
        </w:rPr>
        <w:t xml:space="preserve">СМП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x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vertAlign w:val="subscript"/>
        </w:rPr>
        <w:t xml:space="preserve">шт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,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где:</w:t>
      </w:r>
      <w:r>
        <w:rPr>
          <w:highlight w:val="white"/>
        </w:rPr>
      </w:r>
      <w:r/>
    </w:p>
    <w:p>
      <w:pPr>
        <w:ind w:firstLine="540"/>
        <w:jc w:val="both"/>
        <w:spacing w:before="22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РП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vertAlign w:val="subscript"/>
        </w:rPr>
        <w:t xml:space="preserve">СМП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 подушевой норматив финансирования скорой медицинской помощи, оказанной вне медицинской организации, установленный Территориальной программой государственных гарантий бесплатного оказания гражданам на территории Липецкой области медицинской помощи на дату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 (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992,10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руб.);</w:t>
      </w:r>
      <w:r>
        <w:rPr>
          <w:highlight w:val="white"/>
        </w:rPr>
      </w:r>
      <w:r/>
    </w:p>
    <w:p>
      <w:pPr>
        <w:ind w:firstLine="540"/>
        <w:jc w:val="both"/>
        <w:spacing w:before="22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vertAlign w:val="subscript"/>
        </w:rPr>
        <w:t xml:space="preserve">шт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- коэффициент для определения размера штрафа по основанию для начисления штрафа за нео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казание, несвоевременное оказание либо оказание медицинской помощи ненадлежащего качества;</w:t>
      </w:r>
      <w:r>
        <w:rPr>
          <w:highlight w:val="white"/>
        </w:rPr>
      </w:r>
      <w:r/>
    </w:p>
    <w:p>
      <w:pPr>
        <w:ind w:firstLine="540"/>
        <w:jc w:val="both"/>
        <w:spacing w:before="22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3) при оказании медицинской помощи в условиях круглосуточного стационара: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vertAlign w:val="subscript"/>
        </w:rPr>
        <w:t xml:space="preserve">шт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= РП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vertAlign w:val="subscript"/>
        </w:rPr>
        <w:t xml:space="preserve">СТ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x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vertAlign w:val="subscript"/>
        </w:rPr>
        <w:t xml:space="preserve">шт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,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где:</w:t>
      </w:r>
      <w:r>
        <w:rPr>
          <w:highlight w:val="white"/>
        </w:rPr>
      </w:r>
      <w:r/>
    </w:p>
    <w:p>
      <w:pPr>
        <w:ind w:firstLine="540"/>
        <w:jc w:val="both"/>
        <w:spacing w:before="22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РП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vertAlign w:val="subscript"/>
        </w:rPr>
        <w:t xml:space="preserve">СТ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- подушевой норматив финансирования, установленный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установленый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Территориальной программой государственных гарантий бесплатного оказания гражданам на территории Липецкой области медицинской помощи на дату проведения контроля объемов, сроков, качества и ус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ловий предоставления медицинской помощи в соответствии с порядком организации и проведения контроля (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6831,70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руб.);</w:t>
      </w:r>
      <w:r>
        <w:rPr>
          <w:highlight w:val="white"/>
        </w:rPr>
      </w:r>
      <w:r/>
    </w:p>
    <w:p>
      <w:pPr>
        <w:ind w:firstLine="540"/>
        <w:jc w:val="both"/>
        <w:spacing w:before="22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vertAlign w:val="subscript"/>
        </w:rPr>
        <w:t xml:space="preserve">шт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- коэффициент для определения размера штрафа по основанию для начисления штрафа за неоказание,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несвоевремменое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оказание либо оказание ме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дицинской помощи ненадлежащего качества.</w:t>
      </w:r>
      <w:r>
        <w:rPr>
          <w:highlight w:val="white"/>
        </w:rPr>
      </w:r>
      <w:r/>
    </w:p>
    <w:p>
      <w:pPr>
        <w:ind w:firstLine="540"/>
        <w:jc w:val="both"/>
        <w:spacing w:before="22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4) при оказании медицинской помощи в условиях дневного стационара: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20"/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vertAlign w:val="subscript"/>
        </w:rPr>
        <w:t xml:space="preserve">шт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= РП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vertAlign w:val="subscript"/>
        </w:rPr>
        <w:t xml:space="preserve">ДС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x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vertAlign w:val="subscript"/>
        </w:rPr>
        <w:t xml:space="preserve">шт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,</w:t>
      </w:r>
      <w:r>
        <w:rPr>
          <w:highlight w:val="white"/>
        </w:rPr>
      </w:r>
      <w:r/>
    </w:p>
    <w:p>
      <w:pPr>
        <w:ind w:firstLine="54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где:</w:t>
      </w:r>
      <w:r>
        <w:rPr>
          <w:highlight w:val="white"/>
        </w:rPr>
      </w:r>
      <w:r/>
    </w:p>
    <w:p>
      <w:pPr>
        <w:ind w:firstLine="540"/>
        <w:jc w:val="both"/>
        <w:spacing w:before="22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РП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vertAlign w:val="subscript"/>
        </w:rPr>
        <w:t xml:space="preserve">ДС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- подушевой норматив финансирования, установленный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установленный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Территориальной программой государственных гаранти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й бесплатного оказания гражданам на территории Липецкой области медицинской помощи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 (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1762,10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руб.);</w:t>
      </w:r>
      <w:r>
        <w:rPr>
          <w:highlight w:val="white"/>
        </w:rPr>
      </w:r>
      <w:r/>
    </w:p>
    <w:p>
      <w:pPr>
        <w:ind w:firstLine="540"/>
        <w:jc w:val="both"/>
        <w:spacing w:before="22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  <w:vertAlign w:val="subscript"/>
        </w:rPr>
        <w:t xml:space="preserve">шт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- коэффициент для определения размера штрафа по основанию для начисления штрафа за неоказание,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несвоевремменое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оказание либо оказание медицинской помощи ненадлежащего качества.</w:t>
      </w:r>
      <w:r>
        <w:rPr>
          <w:highlight w:val="white"/>
        </w:rPr>
      </w:r>
      <w:r/>
    </w:p>
    <w:p>
      <w:pPr>
        <w:ind w:firstLine="540"/>
        <w:jc w:val="both"/>
        <w:spacing w:before="220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Перечень оснований для отказа в оплате медицинской помощи (уменьшения оплаты медицинской помощи)</w:t>
      </w:r>
      <w:r>
        <w:rPr>
          <w:highlight w:val="white"/>
        </w:rPr>
      </w:r>
      <w:r/>
    </w:p>
    <w:tbl>
      <w:tblPr>
        <w:tblStyle w:val="1047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17"/>
        <w:gridCol w:w="5046"/>
        <w:gridCol w:w="1701"/>
        <w:gridCol w:w="1559"/>
      </w:tblGrid>
      <w:tr>
        <w:trPr/>
        <w:tc>
          <w:tcPr>
            <w:tcW w:w="16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Код нарушения/</w:t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дефекта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ind w:firstLine="708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Перечень оснований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Коэффициент для определения размера неполной оплаты медицинской помощи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Коэффициент для определения размера штрафа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gridSpan w:val="4"/>
            <w:tcW w:w="9923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b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highlight w:val="white"/>
              </w:rPr>
              <w:t xml:space="preserve">Раздел 1. Нарушения, выявляемые при проведении медико-экономического контроля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1.1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 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0,3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1.2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1.3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Госпитализация застрахованного лиц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0,3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1.4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tcW w:w="830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Нарушения, связанные с оформлением и предъявлением на оплату счетов и реестров счетов, в том числе: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1.4.1.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наличие ошибок и/или недостоверной информации в реквизитах счета;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1.4.2.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сумма счета не соответствует итоговой сумме предоставленной медицинской помощи по реестру счетов;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1.4.3.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налич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ховом случае с летальным исходом при наличии сведений о смерти застрахованного лица в период оказания ему медицинской помощи, по данным персонифицированного учета сведений о застрахованных лицах и (или) о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медицинской помощи, оказанной застрахованным лицам;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>
          <w:trHeight w:val="948"/>
        </w:trPr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1.4.4.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tbl>
            <w:tblPr>
              <w:tblW w:w="0" w:type="auto"/>
              <w:tblCellSpacing w:w="15" w:type="dxa"/>
              <w:tblLayout w:type="fixed"/>
              <w:tblCellMar>
                <w:left w:w="15" w:type="dxa"/>
                <w:top w:w="15" w:type="dxa"/>
                <w:right w:w="15" w:type="dxa"/>
                <w:bottom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3716"/>
            </w:tblGrid>
            <w:tr>
              <w:trPr>
                <w:tblCellSpacing w:w="15" w:type="dxa"/>
              </w:trPr>
              <w:tc>
                <w:tcPr>
                  <w:tcW w:w="36" w:type="dxa"/>
                  <w:textDirection w:val="lrTb"/>
                  <w:noWrap w:val="false"/>
                </w:tcPr>
                <w:p>
                  <w:pPr>
                    <w:ind w:firstLine="708"/>
                    <w:jc w:val="both"/>
                    <w:rPr>
                      <w:rFonts w:ascii="Times New Roman" w:hAnsi="Times New Roman" w:cs="Times New Roman" w:eastAsia="Times New Roman"/>
                      <w:sz w:val="28"/>
                      <w:szCs w:val="28"/>
                      <w:highlight w:val="white"/>
                    </w:rPr>
                    <w:pBdr>
                      <w:top w:val="none" w:color="000000" w:sz="4" w:space="0"/>
                      <w:left w:val="none" w:color="000000" w:sz="4" w:space="0"/>
                      <w:bottom w:val="none" w:color="000000" w:sz="4" w:space="0"/>
                      <w:right w:val="none" w:color="000000" w:sz="4" w:space="0"/>
                      <w:between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sz w:val="28"/>
                      <w:szCs w:val="28"/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/>
                </w:p>
              </w:tc>
              <w:tc>
                <w:tcPr>
                  <w:tcW w:w="3671" w:type="dxa"/>
                  <w:textDirection w:val="lrTb"/>
                  <w:noWrap w:val="false"/>
                </w:tcPr>
                <w:p>
                  <w:pPr>
                    <w:ind w:firstLine="708"/>
                    <w:jc w:val="both"/>
                    <w:rPr>
                      <w:rFonts w:ascii="Times New Roman" w:hAnsi="Times New Roman" w:cs="Times New Roman" w:eastAsia="Times New Roman"/>
                      <w:sz w:val="28"/>
                      <w:szCs w:val="28"/>
                      <w:highlight w:val="white"/>
                    </w:rPr>
                    <w:pBdr>
                      <w:top w:val="none" w:color="000000" w:sz="4" w:space="0"/>
                      <w:left w:val="none" w:color="000000" w:sz="4" w:space="0"/>
                      <w:bottom w:val="none" w:color="000000" w:sz="4" w:space="0"/>
                      <w:right w:val="none" w:color="000000" w:sz="4" w:space="0"/>
                      <w:between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sz w:val="28"/>
                      <w:szCs w:val="28"/>
                      <w:highlight w:val="white"/>
                    </w:rPr>
                    <w:t xml:space="preserve">некорректное заполнение полей реестра счетов;</w:t>
                  </w:r>
                  <w:r>
                    <w:rPr>
                      <w:highlight w:val="white"/>
                    </w:rPr>
                  </w:r>
                  <w:r/>
                </w:p>
              </w:tc>
            </w:tr>
          </w:tbl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1.4.5.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заявленная сумма по позиции реестра счетов не корректна (содержит арифметическую ошибку);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1.4.6.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Дата оказания медицинской помощи в реестре счетов не соответствует отчетному периоду/периоду оплаты;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bottom w:val="single" w:color="auto" w:sz="4" w:space="0"/>
            </w:tcBorders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1.5.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bottom w:val="single" w:color="auto" w:sz="4" w:space="0"/>
            </w:tcBorders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1.6.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tcW w:w="830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1.6.1.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включение в реестр счетов видов медицинской помощи, не входящих в программу обязательного медицинского страхования;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1.6.2.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об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обязательном медицинским страхованием;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1.6.3.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законодательством об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обязательном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медицинским страхованием;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1.6.4.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включени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оказываемых частными медицинскими организаци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местности.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1.7.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tcW w:w="830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Нарушения, связанные с необоснованным применением тарифа на оплату медицинской помощи, в том числе:</w:t>
            </w:r>
            <w:r>
              <w:rPr>
                <w:highlight w:val="white"/>
              </w:rPr>
            </w:r>
            <w:r/>
          </w:p>
        </w:tc>
      </w:tr>
      <w:tr>
        <w:trPr>
          <w:trHeight w:val="1040"/>
        </w:trPr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1.7.1.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 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>
          <w:trHeight w:val="2261"/>
        </w:trPr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1.7.2.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tbl>
            <w:tblPr>
              <w:tblW w:w="0" w:type="auto"/>
              <w:tblCellSpacing w:w="15" w:type="dxa"/>
              <w:tblLayout w:type="fixed"/>
              <w:tblCellMar>
                <w:left w:w="15" w:type="dxa"/>
                <w:top w:w="15" w:type="dxa"/>
                <w:right w:w="15" w:type="dxa"/>
                <w:bottom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3716"/>
            </w:tblGrid>
            <w:tr>
              <w:trPr>
                <w:tblCellSpacing w:w="15" w:type="dxa"/>
                <w:trHeight w:val="826"/>
              </w:trPr>
              <w:tc>
                <w:tcPr>
                  <w:tcW w:w="36" w:type="dxa"/>
                  <w:textDirection w:val="lrTb"/>
                  <w:noWrap w:val="false"/>
                </w:tcPr>
                <w:p>
                  <w:pPr>
                    <w:ind w:firstLine="708"/>
                    <w:jc w:val="both"/>
                    <w:rPr>
                      <w:rFonts w:ascii="Times New Roman" w:hAnsi="Times New Roman" w:cs="Times New Roman" w:eastAsia="Times New Roman"/>
                      <w:sz w:val="28"/>
                      <w:szCs w:val="28"/>
                      <w:highlight w:val="white"/>
                    </w:rPr>
                    <w:pBdr>
                      <w:top w:val="none" w:color="000000" w:sz="4" w:space="0"/>
                      <w:left w:val="none" w:color="000000" w:sz="4" w:space="0"/>
                      <w:bottom w:val="none" w:color="000000" w:sz="4" w:space="0"/>
                      <w:right w:val="none" w:color="000000" w:sz="4" w:space="0"/>
                      <w:between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sz w:val="28"/>
                      <w:szCs w:val="28"/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/>
                </w:p>
              </w:tc>
              <w:tc>
                <w:tcPr>
                  <w:tcW w:w="3671" w:type="dxa"/>
                  <w:textDirection w:val="lrTb"/>
                  <w:noWrap w:val="false"/>
                </w:tcPr>
                <w:p>
                  <w:pPr>
                    <w:ind w:firstLine="708"/>
                    <w:jc w:val="both"/>
                    <w:rPr>
                      <w:rFonts w:ascii="Times New Roman" w:hAnsi="Times New Roman" w:cs="Times New Roman" w:eastAsia="Times New Roman"/>
                      <w:sz w:val="28"/>
                      <w:szCs w:val="28"/>
                      <w:highlight w:val="white"/>
                    </w:rPr>
                    <w:pBdr>
                      <w:top w:val="none" w:color="000000" w:sz="4" w:space="0"/>
                      <w:left w:val="none" w:color="000000" w:sz="4" w:space="0"/>
                      <w:bottom w:val="none" w:color="000000" w:sz="4" w:space="0"/>
                      <w:right w:val="none" w:color="000000" w:sz="4" w:space="0"/>
                      <w:between w:val="none" w:color="000000" w:sz="4" w:space="0"/>
                    </w:pBdr>
                  </w:pPr>
                  <w:r>
                    <w:rPr>
                      <w:rFonts w:ascii="Times New Roman" w:hAnsi="Times New Roman" w:cs="Times New Roman" w:eastAsia="Times New Roman"/>
                      <w:sz w:val="28"/>
                      <w:szCs w:val="28"/>
                      <w:highlight w:val="white"/>
                    </w:rPr>
                    <w:t xml:space="preserve">включение в реестр счетов случаев оказания медицинской по тарифам на оплату медицинской помощи, установленным в соответствии с законодательством об обязательном медицинском страховании.</w:t>
                  </w:r>
                  <w:r>
                    <w:rPr>
                      <w:highlight w:val="white"/>
                    </w:rPr>
                  </w:r>
                  <w:r/>
                </w:p>
              </w:tc>
            </w:tr>
          </w:tbl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1.8.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tcW w:w="830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1.8.1.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включение в реестр счетов страховых случаев по видам медицинской деятельности, отсутствующим в дей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ствующей лицензии медицинской организации;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1.8.2.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завершившимися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после прекращения действия лицензии медицинской организации;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1.8.3.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предоставление на оплату реестров счетов в случае нарушен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1.9.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1.10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tcW w:w="830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Нарушения, связанные с повторным включением в реестр счетов случаев оказания медицинской помощи, в том числе: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1.10.1.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1.10.2.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дублирование случаев оказания медицинской помощи в одном реестре;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1.10.3.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1.10.4.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стоимость медицинской услуги включена в норматив финансового обеспече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ния оплаты медицинской помощи, оказанной амбулаторно, на прикрепленное население, застрахованное по обязательному медицинскому страхованию;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1.10.5.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включение в реестр счетов медицинской помо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>
          <w:trHeight w:val="1030"/>
        </w:trPr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1.10.6.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>
          <w:trHeight w:val="257"/>
        </w:trPr>
        <w:tc>
          <w:tcPr>
            <w:gridSpan w:val="4"/>
            <w:tcW w:w="9923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highlight w:val="white"/>
              </w:rPr>
              <w:t xml:space="preserve">Раздел 2. Нарушения, выявляемые при проведении медико-экономической экспертизы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2.1.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Нарушение сроков ожидания медицинской помощи, установленных территориальной программой обязательного медицинского страхования.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0,3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2.2.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доезда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бригады скорой медицинской помощи, при летальном исходе до приезда бригады скорой помощи.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2.7.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Представление в реестрах счетов пов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на оплату медицинской помощи другой услуги, также предъявленной к оплате медицинской организацией).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0,3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2.8.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ционара, а также консультаций в других медицинских организациях при экстренных и неотложных состояниях).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0,3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2.9.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Взимание платы с застр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2.10.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, и (или) медицинских изделий, включенных в перечень медицинских изделий, имплантируемых в организм человека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, на основе клинических рекомендаций, с учетом стандартов медицинской помощи.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0,5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2.11.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Отсутствие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в реестре счетов сведений о страховом случае с летальным исходом при наличии сведений о смерти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0,6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2.12.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страхования, или территориального фонда обязательного м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едицинского страхования, или страховой медицинской организации, или специалиста-эксперта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, эксперта качества медицинской помощи, действующего по их поручению.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2.13.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йской Федерации случаях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  <w:vertAlign w:val="superscript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2.14.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Наличие признаков искажения сведений, представленных в медицинской документации (дописки, исправления, «вклейки», полное переоформление с искажением сведений о про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веденных диагностических и лечебных мероприятиях, клинической картине заболевания; расхождение сведений об оказании медицинской помощи в различных разделах медицинской документации и /или учетно-отчетной документации, запрошенной на проведение экспертизы).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2.15.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Дата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2.16.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tcW w:w="830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Несоответствие данных медицинской документации данным реестра счетов, в том числе: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2.16.1.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0,3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2.16.2.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2.16.3.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Некорректное (неполное) отражение в реестре счета сведений медицинской документации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2.17.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жизненно необходимых и важнейших лекарственных препаратов.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0,3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2.18.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0,3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gridSpan w:val="4"/>
            <w:tcW w:w="9923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b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highlight w:val="white"/>
              </w:rPr>
              <w:t xml:space="preserve">Раздел 3. Нарушения, выявляемые при проведении экспертизы качества медицинской помощи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3.1.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shd w:val="clear" w:color="auto" w:fill="auto"/>
            <w:tcW w:w="830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применению методов профилактики, диагностики, лечения и реабилитации, данных медицинскими работниками национальных медицинских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центров в ходе консультаций/консилиумов с применением телемедицинских технологий: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3.1.1.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не повлиявшее на состояние здоровья застрахованного лица;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3.1.2.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приведшее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вом Российской Федерации случаях);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3.1.3.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0,3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3.1.4.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приведшее к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инвалидизации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3.1.5.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приведшее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к летальному исходу (в том числе при наличии расхождений клинического и патологоанатомического диагнозов);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3.2.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tcW w:w="830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Невыполнение, несво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ьтаций/консилиумов с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применением телемедицинских технологий: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3.2.1.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не повлиявшее на состояние здоровья застрахованного лица;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3.2.2.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приведшее к ухудшению состояния здоровья застрахованного лица, либо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0,3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3.2.3.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приведшее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к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инвалидизации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3.2.4.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приведшее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3.2.5.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рекомендаций медицинских работников национальных медицинских иссл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телемедицинских технологий, при необоснованном невыполнении данных рекомендаций;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3.2.6.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по результатам проведенного диспансерного наблюдения.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3.3.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Выполнение непоказанных, неоправданных с клинической точки зрения, не регламентированных порядками оказания медицинской по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0,6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3.4.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Преждевре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0,3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3.5.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Нарушения при оказании медицинской помощи (в частности, преждевременная выписка из медицинской организации), вследствие которых при отсутствии положительной динамики в состоянии здоровья потр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3.6.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Нарушение по вине медицинской организации п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3.7.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ереводом в течение суток в профильные медицинские организации (структурные подразделения медицинских организаций).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0,3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3.8.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Госпитализаци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0,3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3.9.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Необоснованное повторное посещение врача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с выдачей справок и иных медицинских документов.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0,3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3.10.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Наличие расхождений клинического и патологоанатомического диагнозов 2-3 категории, обусловленное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непроведением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необходимых диагностических исследований (за исключением оказания медицинской помощи в экстренной форме).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0,5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3.11.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вести оценку качества оказанной медицинской помощи.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3.12.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Нар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0,3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3.13.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стандартов медицинской помощи и клинических рекомендаций, связанные с риском для здоровья пациента.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0,6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3.14.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tcW w:w="830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3.14.1.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с отсутствием последующего ухудшения состояния здоровья;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3.14.2.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с последующим ухудшением состояния здоровья;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3.14.3.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приведший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к летальному исходу.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3.15.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tcW w:w="830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Непроведение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юченного в группу диспансерного наблюдения,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соответствием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с порядком и периодичностью проведения диспансерного наблюдения и перечнем включаемых в указанный порядок исследований, в том числе:  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3.15.1.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с отсутствием последующего ухудшения состояния здоро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вья;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3.15.2.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2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1617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3.15.3.</w:t>
            </w:r>
            <w:r>
              <w:rPr>
                <w:highlight w:val="white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приведший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t xml:space="preserve">3</w:t>
            </w:r>
            <w:r>
              <w:rPr>
                <w:highlight w:val="white"/>
              </w:rPr>
            </w:r>
            <w:r/>
          </w:p>
        </w:tc>
      </w:tr>
    </w:tbl>
    <w:p>
      <w:pPr>
        <w:ind w:firstLine="708"/>
        <w:jc w:val="both"/>
        <w:rPr>
          <w:rFonts w:ascii="Times New Roman" w:hAnsi="Times New Roman" w:cs="Times New Roman" w:eastAsia="Times New Roman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4"/>
          <w:szCs w:val="24"/>
          <w:highlight w:val="white"/>
          <w:vertAlign w:val="superscript"/>
        </w:rPr>
        <w:t xml:space="preserve">1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 Распоряжение Правительства Российской Федерации от 12 октября 2019 г. № 2406-р (Собрание законодательства Российской Федерации, 2019, № 42, ст. 5979; 2020, № 48, ст. 7813).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4"/>
          <w:szCs w:val="24"/>
          <w:highlight w:val="white"/>
          <w:vertAlign w:val="superscript"/>
        </w:rPr>
        <w:t xml:space="preserve">2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 Распоряжение Правительства Российской Федерации 31 декабря 2018 г. № 3053-р (Соб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рание законодательства Российской Федерации, 2019, № 2, ст. 196; № 41, ст. 5780).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4"/>
          <w:szCs w:val="24"/>
          <w:highlight w:val="white"/>
          <w:vertAlign w:val="superscript"/>
        </w:rPr>
        <w:t xml:space="preserve">3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 В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 соответствии со статьей 20 Федерального закона от 21 ноября 2011 г. № 323-ФЗ «Об основах охраны здоровья граждан в Российской Федерации» (Собрание законодательства Россий</w:t>
      </w:r>
      <w:r>
        <w:rPr>
          <w:rFonts w:ascii="Times New Roman" w:hAnsi="Times New Roman" w:cs="Times New Roman" w:eastAsia="Times New Roman"/>
          <w:sz w:val="24"/>
          <w:szCs w:val="24"/>
          <w:highlight w:val="white"/>
        </w:rPr>
        <w:t xml:space="preserve">ской Федерации, 2011, № 48, ст. 6724; 2020, № 29, ст. 4516).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Размеры санкций по проводимым в 2023 году экспертизам  медицинской помощи, оказанной медицинскими организациями в 2022 году, определяются в соответствии с Перечнем оснований для частичной или по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лной неоплаты медицинской помощи и применения штрафных санкций по результатам медико-экономического контроля, медико-экономической экспертизы и экспертизы качества медицинской помощи в системе обязательного медицинского страхования Липецкой области, утверж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денным Тарифным соглашением на 2022 год.</w:t>
      </w:r>
      <w:r>
        <w:rPr>
          <w:highlight w:val="white"/>
        </w:rPr>
      </w:r>
      <w:r/>
    </w:p>
    <w:p>
      <w:pPr>
        <w:ind w:firstLine="708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left="360"/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t xml:space="preserve">5.Заключительные положения</w:t>
      </w:r>
      <w:r>
        <w:rPr>
          <w:highlight w:val="white"/>
        </w:rPr>
      </w:r>
      <w:r/>
    </w:p>
    <w:p>
      <w:pPr>
        <w:ind w:left="360"/>
        <w:jc w:val="center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5.1. Настоящее Тарифное соглашение вступает в силу с 01 января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2023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года, действует до 31 декабря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2023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года включительно и распространяется на правоотношения, связанные с оплатой  медици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нской помощи, оказанной в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течение 2023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года.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5.2. Тарифное соглашение может быть изменено или дополнено по соглашению всех Сторон. Внесение изменений в Тарифное соглашение осуществляется путем заключения дополнительного соглашения к Тарифному соглашению, к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оторое является его неотъемлемой частью.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5.3. Стороны принимают на себя обязательства выполнять настоящее Тарифное соглашение.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5.4. В случае возникновения споров по настоящему Тарифному соглашению Стороны принимают все меры для их разрешения путем переговоров между собой.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5.5. Настоящее Тарифное соглашение составлено в пяти экземплярах, имеющих равную юридическую силу, по одному э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кземпляру для каждой Стороны.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5.6. ТФОМС Липецкой области доводит настоящее Тарифное соглашение до сведения всех участников системы обязательного медицинского страхования Липецкой области путем размещения на собственном сайте в сети «Интернет».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bookmarkStart w:id="3" w:name="_GoBack"/>
      <w:r>
        <w:rPr>
          <w:highlight w:val="white"/>
        </w:rPr>
      </w:r>
      <w:bookmarkEnd w:id="3"/>
      <w:r>
        <w:rPr>
          <w:highlight w:val="white"/>
        </w:rPr>
      </w:r>
      <w:r/>
    </w:p>
    <w:p>
      <w:pPr>
        <w:jc w:val="left"/>
        <w:rPr>
          <w:rFonts w:ascii="Times New Roman" w:hAnsi="Times New Roman" w:cs="Times New Roman"/>
          <w:b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left"/>
        <w:rPr>
          <w:rFonts w:ascii="Times New Roman" w:hAnsi="Times New Roman" w:cs="Times New Roman"/>
          <w:b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left"/>
        <w:rPr>
          <w:rFonts w:ascii="Times New Roman" w:hAnsi="Times New Roman" w:cs="Times New Roman"/>
          <w:b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left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Перечень приложений к</w:t>
      </w:r>
      <w:r>
        <w:rPr>
          <w:b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Тарифному соглашению.</w:t>
      </w:r>
      <w:r>
        <w:rPr>
          <w:b/>
        </w:rPr>
      </w:r>
      <w:r/>
    </w:p>
    <w:p>
      <w:pPr>
        <w:jc w:val="left"/>
        <w:rPr>
          <w:rFonts w:ascii="Times New Roman" w:hAnsi="Times New Roman" w:cs="Times New Roman"/>
          <w:b w:val="0"/>
          <w:highlight w:val="white"/>
        </w:rPr>
      </w:pP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приложение № 1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Перечень медицинских организаций (структурных подразделений медицинских организаций), имеющих прикрепившихся лиц, оплата амбулаторной мед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ицинской помощи в которых осуществляется 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тестирования на выявление новой коронавирусной инфекци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(COVID-19), профилактических медицинских осмотров и диспансеризации, в том числе углубленной диспансеризации, а также средств на оплату диспансерного наблюдения и финансовое обеспечение фельдшерских, фельдшерско-акушерских пунктов) с учетом показателей 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иных медицинских организациях и оплачиваемую за единицу объема медицинской помощи в разрезе групп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приложение № 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Перечень медицинских организаций (структурных подразделений медицинских организаций), не имеющих прикрепившихся лиц, оплата амбулаторной медицинской помощи в которых осуществляется за единицу объема медицинской помощи - за медицинскую услугу,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посещение, за обращение (законченный случай), за УЕТ в разрезе уровней оказания медицинской помощи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приложение № 3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Перечень фельдшерских пунктов, фельдшерско-акушерских пунктов с указанием диапазона численнос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ти обслуживаемого населения, годового размера финансового обеспечения, а также информации о соответствии/несоответствии ФП, ФАП требованиям, установленным положением об организации оказания первичной медико-санитарной помощи взрослому населению на 2023 год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приложение № 4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Перечень круглосуточных стационаров медицинских организаций (структурных подразделений медицинских организаций) в разрезе уровней оказания медицинской помощи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приложение № 5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Перечень медицинских организаций, оказывающих медицинскую помощь в дневных стационарах в разрезе уровней оказания медицинской помощи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приложение № 6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Перечень медицинских организаций (структурных подразделений медицинских организаций), оказывающих скорую медицинскую помощь в разрезе групп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приложение № 7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Коэффициенты, применяемые при расчете подушевых нормативов, а так же фактические дифференцированные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подушевые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нормативы финансирования в разрезе медицинских организаций, применяемые при оплате амбулат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орной медицинской помощи в 2023».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приложение № 8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Классификатор основных медицинских услуг по оказанию первичной медико-санитарной специализированной стоматологической помощи, оказанной в амбулаторных условиях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приложение № 9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Тарифы на отдельные медицинские услуги, применяемые при оплате амбулаторной медицинской помощи, в том числе для проведения межучрежденческих расчетов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приложение № 10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Тарифы на медицинские услуги, финансирование которых осуществляется в соответствии с нормативами финансовых затрат на единицу объема медицинской помощи, установленными Территориальной программой ОМС из средств, не входящих в расчет подушевых нормативов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приложение № 11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Тарифы на медицинские услуги по проведению диспансеризации определенных гру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пп взр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ослого населения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приложение № 12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Тарифы на медицинские услуги по проведению углубленной диспансеризации определенных гру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пп взр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ослого населения гражданам, переболевшим новой коронавирусной инфекцией (COVID-19)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приложение № 13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Тарифы на  медицинские услуги по проведению диспансеризации пребывающих в стационарных учреждениях детей-сирот и детей, находящихся в трудной жизненной ситуации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приложение № 14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Тарифы на медицинские услуги  по проведению диспансеризации детей-сирот и детей, оставшихся без попечения родителей,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том числе усыновленных (удочеренных), принятых под опеку (попечительство), в приемную или патронатную семью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приложение №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15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Тарифы на медицинские услуги по проведению профилактических медицинских осмотров несовершеннолетним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приложение № 16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Тарифы на  медицинские услуги по проведению профилактических медицинских осмотров взрослого населения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приложение № 17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Тарифы на  медицинские услуги, оказываемые в центрах здоровья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приложение № 18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Перечень клинико-статистических групп заболеваний, применяемых в стационарных условиях с указанием коэффициентов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относительной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затратоемкости КСГ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приложение № 19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Перечень клинико-статистических групп заболеваний, применяемых в условиях дневного стационара с указанием коэффициентов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относительной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затратоемкости КСГ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приложение № 20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Коэффициенты, применяемые при расчете подушевых нормативов, а так же фактические дифференцированные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подушевые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нормативы финансирования в разрезе медицинских организаций, применяемые при оплате скорой медицинской помощи в 2023 году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приложение № 21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Порядок расчета значений показателей результативности деятельности медицинских организаций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ind w:firstLine="720"/>
        <w:jc w:val="both"/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>
        <w:rPr>
          <w:highlight w:val="white"/>
        </w:rPr>
      </w:r>
      <w:r/>
    </w:p>
    <w:sectPr>
      <w:footerReference w:type="default" r:id="rId9"/>
      <w:footnotePr>
        <w:pos w:val="beneathText"/>
      </w:footnotePr>
      <w:endnotePr/>
      <w:type w:val="nextPage"/>
      <w:pgSz w:w="11905" w:h="16837" w:orient="portrait"/>
      <w:pgMar w:top="851" w:right="851" w:bottom="851" w:left="1134" w:header="0" w:footer="220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803050406030204"/>
  </w:font>
  <w:font w:name="arimo">
    <w:panose1 w:val="02000603000000000000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Georgia">
    <w:panose1 w:val="02040502050405020303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rPr>
        <w:rFonts w:ascii="Times New Roman" w:hAnsi="Times New Roman" w:cs="Times New Roman" w:eastAsia="Times New Roman"/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rFonts w:ascii="Times New Roman" w:hAnsi="Times New Roman" w:cs="Times New Roman" w:eastAsia="Times New Roman"/>
        <w:color w:val="000000"/>
      </w:rPr>
      <w:fldChar w:fldCharType="begin"/>
    </w:r>
    <w:r>
      <w:rPr>
        <w:rFonts w:ascii="Times New Roman" w:hAnsi="Times New Roman" w:cs="Times New Roman" w:eastAsia="Times New Roman"/>
        <w:color w:val="000000"/>
      </w:rPr>
      <w:instrText xml:space="preserve">PAGE</w:instrText>
    </w:r>
    <w:r>
      <w:rPr>
        <w:rFonts w:ascii="Times New Roman" w:hAnsi="Times New Roman" w:cs="Times New Roman" w:eastAsia="Times New Roman"/>
        <w:color w:val="000000"/>
      </w:rPr>
      <w:fldChar w:fldCharType="separate"/>
    </w:r>
    <w:r>
      <w:rPr>
        <w:rFonts w:ascii="Times New Roman" w:hAnsi="Times New Roman" w:cs="Times New Roman" w:eastAsia="Times New Roman"/>
        <w:color w:val="000000"/>
      </w:rPr>
      <w:t xml:space="preserve">155</w:t>
    </w:r>
    <w:r>
      <w:rPr>
        <w:rFonts w:ascii="Times New Roman" w:hAnsi="Times New Roman" w:cs="Times New Roman" w:eastAsia="Times New Roman"/>
        <w:color w:val="000000"/>
      </w:rPr>
      <w:fldChar w:fldCharType="end"/>
    </w:r>
    <w:r/>
  </w:p>
  <w:p>
    <w:pPr>
      <w:rPr>
        <w:rFonts w:ascii="Times New Roman" w:hAnsi="Times New Roman" w:cs="Times New Roman" w:eastAsia="Times New Roman"/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rFonts w:ascii="Times New Roman" w:hAnsi="Times New Roman" w:cs="Times New Roman" w:eastAsia="Times New Roman"/>
        <w:color w:val="000000"/>
      </w:rPr>
    </w:r>
    <w:r/>
  </w:p>
  <w:p>
    <w:pPr>
      <w:rPr>
        <w:rFonts w:ascii="Times New Roman" w:hAnsi="Times New Roman" w:cs="Times New Roman" w:eastAsia="Times New Roman"/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rFonts w:ascii="Times New Roman" w:hAnsi="Times New Roman" w:cs="Times New Roman" w:eastAsia="Times New Roman"/>
        <w:color w:val="000000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98" w:hanging="989"/>
      </w:pPr>
      <w:rPr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  <w:rPr>
        <w:vertAlign w:val="baseline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vertAlign w:val="baseline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98" w:hanging="989"/>
      </w:pPr>
      <w:rPr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  <w:rPr>
        <w:vertAlign w:val="baseline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562" w:hanging="185"/>
      </w:pPr>
      <w:rPr>
        <w:rFonts w:ascii="Times New Roman" w:hAnsi="Times New Roman" w:cs="Times New Roman" w:eastAsia="Times New Roman"/>
        <w:sz w:val="28"/>
        <w:szCs w:val="28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ind w:left="1552" w:hanging="185"/>
      </w:pPr>
      <w:rPr>
        <w:vertAlign w:val="baseline"/>
      </w:rPr>
    </w:lvl>
    <w:lvl w:ilvl="2">
      <w:start w:val="1"/>
      <w:numFmt w:val="bullet"/>
      <w:isLgl w:val="false"/>
      <w:suff w:val="tab"/>
      <w:lvlText w:val="•"/>
      <w:lvlJc w:val="left"/>
      <w:pPr>
        <w:ind w:left="2545" w:hanging="185"/>
      </w:pPr>
      <w:rPr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537" w:hanging="185"/>
      </w:pPr>
      <w:rPr>
        <w:vertAlign w:val="baseline"/>
      </w:rPr>
    </w:lvl>
    <w:lvl w:ilvl="4">
      <w:start w:val="1"/>
      <w:numFmt w:val="bullet"/>
      <w:isLgl w:val="false"/>
      <w:suff w:val="tab"/>
      <w:lvlText w:val="•"/>
      <w:lvlJc w:val="left"/>
      <w:pPr>
        <w:ind w:left="4530" w:hanging="185"/>
      </w:pPr>
      <w:rPr>
        <w:vertAlign w:val="baseline"/>
      </w:rPr>
    </w:lvl>
    <w:lvl w:ilvl="5">
      <w:start w:val="1"/>
      <w:numFmt w:val="bullet"/>
      <w:isLgl w:val="false"/>
      <w:suff w:val="tab"/>
      <w:lvlText w:val="•"/>
      <w:lvlJc w:val="left"/>
      <w:pPr>
        <w:ind w:left="5523" w:hanging="185"/>
      </w:pPr>
      <w:rPr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6515" w:hanging="185"/>
      </w:pPr>
      <w:rPr>
        <w:vertAlign w:val="baseline"/>
      </w:rPr>
    </w:lvl>
    <w:lvl w:ilvl="7">
      <w:start w:val="1"/>
      <w:numFmt w:val="bullet"/>
      <w:isLgl w:val="false"/>
      <w:suff w:val="tab"/>
      <w:lvlText w:val="•"/>
      <w:lvlJc w:val="left"/>
      <w:pPr>
        <w:ind w:left="7508" w:hanging="185"/>
      </w:pPr>
      <w:rPr>
        <w:vertAlign w:val="baseline"/>
      </w:rPr>
    </w:lvl>
    <w:lvl w:ilvl="8">
      <w:start w:val="1"/>
      <w:numFmt w:val="bullet"/>
      <w:isLgl w:val="false"/>
      <w:suff w:val="tab"/>
      <w:lvlText w:val="•"/>
      <w:lvlJc w:val="left"/>
      <w:pPr>
        <w:ind w:left="8501" w:hanging="185"/>
      </w:pPr>
      <w:rPr>
        <w:vertAlign w:val="baseline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14"/>
  </w:num>
  <w:num w:numId="2">
    <w:abstractNumId w:val="15"/>
  </w:num>
  <w:num w:numId="3">
    <w:abstractNumId w:val="16"/>
  </w:num>
  <w:num w:numId="4">
    <w:abstractNumId w:val="1"/>
  </w:num>
  <w:num w:numId="5">
    <w:abstractNumId w:val="17"/>
  </w:num>
  <w:num w:numId="6">
    <w:abstractNumId w:val="8"/>
  </w:num>
  <w:num w:numId="7">
    <w:abstractNumId w:val="12"/>
  </w:num>
  <w:num w:numId="8">
    <w:abstractNumId w:val="23"/>
  </w:num>
  <w:num w:numId="9">
    <w:abstractNumId w:val="19"/>
  </w:num>
  <w:num w:numId="10">
    <w:abstractNumId w:val="2"/>
  </w:num>
  <w:num w:numId="11">
    <w:abstractNumId w:val="6"/>
  </w:num>
  <w:num w:numId="12">
    <w:abstractNumId w:val="13"/>
  </w:num>
  <w:num w:numId="13">
    <w:abstractNumId w:val="4"/>
  </w:num>
  <w:num w:numId="14">
    <w:abstractNumId w:val="18"/>
  </w:num>
  <w:num w:numId="15">
    <w:abstractNumId w:val="3"/>
  </w:num>
  <w:num w:numId="16">
    <w:abstractNumId w:val="11"/>
  </w:num>
  <w:num w:numId="17">
    <w:abstractNumId w:val="10"/>
  </w:num>
  <w:num w:numId="18">
    <w:abstractNumId w:val="22"/>
  </w:num>
  <w:num w:numId="19">
    <w:abstractNumId w:val="0"/>
  </w:num>
  <w:num w:numId="20">
    <w:abstractNumId w:val="9"/>
  </w:num>
  <w:num w:numId="21">
    <w:abstractNumId w:val="7"/>
  </w:num>
  <w:num w:numId="22">
    <w:abstractNumId w:val="21"/>
  </w:num>
  <w:num w:numId="23">
    <w:abstractNumId w:val="20"/>
  </w:num>
  <w:num w:numId="24">
    <w:abstractNumId w:val="5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0" w:default="1">
    <w:name w:val="Normal"/>
  </w:style>
  <w:style w:type="paragraph" w:styleId="751">
    <w:name w:val="Heading 1"/>
    <w:basedOn w:val="750"/>
    <w:next w:val="750"/>
    <w:link w:val="798"/>
    <w:pPr>
      <w:keepLines/>
      <w:keepNext/>
      <w:spacing w:before="480" w:after="120"/>
      <w:outlineLvl w:val="0"/>
    </w:pPr>
    <w:rPr>
      <w:b/>
      <w:sz w:val="48"/>
      <w:szCs w:val="48"/>
    </w:rPr>
  </w:style>
  <w:style w:type="paragraph" w:styleId="752">
    <w:name w:val="Heading 2"/>
    <w:basedOn w:val="750"/>
    <w:next w:val="750"/>
    <w:link w:val="799"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753">
    <w:name w:val="Heading 3"/>
    <w:basedOn w:val="750"/>
    <w:next w:val="750"/>
    <w:link w:val="800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754">
    <w:name w:val="Heading 4"/>
    <w:basedOn w:val="750"/>
    <w:next w:val="750"/>
    <w:link w:val="801"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755">
    <w:name w:val="Heading 5"/>
    <w:basedOn w:val="750"/>
    <w:next w:val="750"/>
    <w:link w:val="802"/>
    <w:pPr>
      <w:keepLines/>
      <w:keepNext/>
      <w:spacing w:before="220" w:after="40"/>
      <w:outlineLvl w:val="4"/>
    </w:pPr>
    <w:rPr>
      <w:b/>
      <w:sz w:val="22"/>
      <w:szCs w:val="22"/>
    </w:rPr>
  </w:style>
  <w:style w:type="paragraph" w:styleId="756">
    <w:name w:val="Heading 6"/>
    <w:basedOn w:val="750"/>
    <w:next w:val="750"/>
    <w:link w:val="803"/>
    <w:pPr>
      <w:keepLines/>
      <w:keepNext/>
      <w:spacing w:before="200" w:after="40"/>
      <w:outlineLvl w:val="5"/>
    </w:pPr>
    <w:rPr>
      <w:b/>
    </w:rPr>
  </w:style>
  <w:style w:type="paragraph" w:styleId="757">
    <w:name w:val="Heading 7"/>
    <w:basedOn w:val="750"/>
    <w:next w:val="750"/>
    <w:link w:val="80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paragraph" w:styleId="758">
    <w:name w:val="Heading 8"/>
    <w:basedOn w:val="750"/>
    <w:next w:val="750"/>
    <w:link w:val="8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paragraph" w:styleId="759">
    <w:name w:val="Heading 9"/>
    <w:basedOn w:val="750"/>
    <w:next w:val="750"/>
    <w:link w:val="8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60" w:default="1">
    <w:name w:val="Default Paragraph Font"/>
    <w:uiPriority w:val="1"/>
    <w:semiHidden/>
    <w:unhideWhenUsed/>
  </w:style>
  <w:style w:type="table" w:styleId="7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2" w:default="1">
    <w:name w:val="No List"/>
    <w:uiPriority w:val="99"/>
    <w:semiHidden/>
    <w:unhideWhenUsed/>
  </w:style>
  <w:style w:type="character" w:styleId="763" w:customStyle="1">
    <w:name w:val="Heading 1 Char"/>
    <w:basedOn w:val="760"/>
    <w:uiPriority w:val="9"/>
    <w:rPr>
      <w:rFonts w:ascii="Arial" w:hAnsi="Arial" w:cs="Arial" w:eastAsia="Arial"/>
      <w:sz w:val="40"/>
      <w:szCs w:val="40"/>
    </w:rPr>
  </w:style>
  <w:style w:type="character" w:styleId="764" w:customStyle="1">
    <w:name w:val="Heading 2 Char"/>
    <w:basedOn w:val="760"/>
    <w:uiPriority w:val="9"/>
    <w:rPr>
      <w:rFonts w:ascii="Arial" w:hAnsi="Arial" w:cs="Arial" w:eastAsia="Arial"/>
      <w:sz w:val="34"/>
    </w:rPr>
  </w:style>
  <w:style w:type="character" w:styleId="765" w:customStyle="1">
    <w:name w:val="Heading 3 Char"/>
    <w:basedOn w:val="760"/>
    <w:uiPriority w:val="9"/>
    <w:rPr>
      <w:rFonts w:ascii="Arial" w:hAnsi="Arial" w:cs="Arial" w:eastAsia="Arial"/>
      <w:sz w:val="30"/>
      <w:szCs w:val="30"/>
    </w:rPr>
  </w:style>
  <w:style w:type="character" w:styleId="766" w:customStyle="1">
    <w:name w:val="Heading 4 Char"/>
    <w:basedOn w:val="760"/>
    <w:uiPriority w:val="9"/>
    <w:rPr>
      <w:rFonts w:ascii="Arial" w:hAnsi="Arial" w:cs="Arial" w:eastAsia="Arial"/>
      <w:b/>
      <w:bCs/>
      <w:sz w:val="26"/>
      <w:szCs w:val="26"/>
    </w:rPr>
  </w:style>
  <w:style w:type="character" w:styleId="767" w:customStyle="1">
    <w:name w:val="Heading 5 Char"/>
    <w:basedOn w:val="760"/>
    <w:uiPriority w:val="9"/>
    <w:rPr>
      <w:rFonts w:ascii="Arial" w:hAnsi="Arial" w:cs="Arial" w:eastAsia="Arial"/>
      <w:b/>
      <w:bCs/>
      <w:sz w:val="24"/>
      <w:szCs w:val="24"/>
    </w:rPr>
  </w:style>
  <w:style w:type="character" w:styleId="768" w:customStyle="1">
    <w:name w:val="Heading 6 Char"/>
    <w:basedOn w:val="760"/>
    <w:uiPriority w:val="9"/>
    <w:rPr>
      <w:rFonts w:ascii="Arial" w:hAnsi="Arial" w:cs="Arial" w:eastAsia="Arial"/>
      <w:b/>
      <w:bCs/>
      <w:sz w:val="22"/>
      <w:szCs w:val="22"/>
    </w:rPr>
  </w:style>
  <w:style w:type="character" w:styleId="769" w:customStyle="1">
    <w:name w:val="Heading 7 Char"/>
    <w:basedOn w:val="76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70" w:customStyle="1">
    <w:name w:val="Heading 8 Char"/>
    <w:basedOn w:val="760"/>
    <w:uiPriority w:val="9"/>
    <w:rPr>
      <w:rFonts w:ascii="Arial" w:hAnsi="Arial" w:cs="Arial" w:eastAsia="Arial"/>
      <w:i/>
      <w:iCs/>
      <w:sz w:val="22"/>
      <w:szCs w:val="22"/>
    </w:rPr>
  </w:style>
  <w:style w:type="character" w:styleId="771" w:customStyle="1">
    <w:name w:val="Heading 9 Char"/>
    <w:basedOn w:val="760"/>
    <w:uiPriority w:val="9"/>
    <w:rPr>
      <w:rFonts w:ascii="Arial" w:hAnsi="Arial" w:cs="Arial" w:eastAsia="Arial"/>
      <w:i/>
      <w:iCs/>
      <w:sz w:val="21"/>
      <w:szCs w:val="21"/>
    </w:rPr>
  </w:style>
  <w:style w:type="character" w:styleId="772" w:customStyle="1">
    <w:name w:val="Title Char"/>
    <w:basedOn w:val="760"/>
    <w:uiPriority w:val="10"/>
    <w:rPr>
      <w:sz w:val="48"/>
      <w:szCs w:val="48"/>
    </w:rPr>
  </w:style>
  <w:style w:type="character" w:styleId="773" w:customStyle="1">
    <w:name w:val="Subtitle Char"/>
    <w:basedOn w:val="760"/>
    <w:uiPriority w:val="11"/>
    <w:rPr>
      <w:sz w:val="24"/>
      <w:szCs w:val="24"/>
    </w:rPr>
  </w:style>
  <w:style w:type="character" w:styleId="774" w:customStyle="1">
    <w:name w:val="Quote Char"/>
    <w:uiPriority w:val="29"/>
    <w:rPr>
      <w:i/>
    </w:rPr>
  </w:style>
  <w:style w:type="character" w:styleId="775" w:customStyle="1">
    <w:name w:val="Intense Quote Char"/>
    <w:uiPriority w:val="30"/>
    <w:rPr>
      <w:i/>
    </w:rPr>
  </w:style>
  <w:style w:type="character" w:styleId="776" w:customStyle="1">
    <w:name w:val="Header Char"/>
    <w:basedOn w:val="760"/>
    <w:uiPriority w:val="99"/>
  </w:style>
  <w:style w:type="character" w:styleId="777" w:customStyle="1">
    <w:name w:val="Caption Char"/>
    <w:uiPriority w:val="99"/>
  </w:style>
  <w:style w:type="table" w:styleId="778" w:customStyle="1">
    <w:name w:val="Plain Table 1"/>
    <w:basedOn w:val="76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9" w:customStyle="1">
    <w:name w:val="Plain Table 2"/>
    <w:basedOn w:val="76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0" w:customStyle="1">
    <w:name w:val="Plain Table 3"/>
    <w:basedOn w:val="76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1" w:customStyle="1">
    <w:name w:val="Plain Table 4"/>
    <w:basedOn w:val="76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Plain Table 5"/>
    <w:basedOn w:val="76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1 Light"/>
    <w:basedOn w:val="76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Grid Table 2"/>
    <w:basedOn w:val="76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"/>
    <w:basedOn w:val="76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4"/>
    <w:basedOn w:val="76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7" w:customStyle="1">
    <w:name w:val="Grid Table 5 Dark"/>
    <w:basedOn w:val="76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6 Colorful"/>
    <w:basedOn w:val="76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9" w:customStyle="1">
    <w:name w:val="Grid Table 7 Colorful"/>
    <w:basedOn w:val="76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0" w:customStyle="1">
    <w:name w:val="List Table 1 Light"/>
    <w:basedOn w:val="76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2"/>
    <w:basedOn w:val="76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2" w:customStyle="1">
    <w:name w:val="List Table 3"/>
    <w:basedOn w:val="76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"/>
    <w:basedOn w:val="76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5 Dark"/>
    <w:basedOn w:val="76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6 Colorful"/>
    <w:basedOn w:val="76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6" w:customStyle="1">
    <w:name w:val="List Table 7 Colorful"/>
    <w:basedOn w:val="76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character" w:styleId="797" w:customStyle="1">
    <w:name w:val="Endnote Text Char"/>
    <w:uiPriority w:val="99"/>
    <w:rPr>
      <w:sz w:val="20"/>
    </w:rPr>
  </w:style>
  <w:style w:type="character" w:styleId="798" w:customStyle="1">
    <w:name w:val="Заголовок 1 Знак"/>
    <w:basedOn w:val="760"/>
    <w:link w:val="751"/>
    <w:uiPriority w:val="9"/>
    <w:rPr>
      <w:rFonts w:ascii="Arial" w:hAnsi="Arial" w:cs="Arial" w:eastAsia="Arial"/>
      <w:sz w:val="40"/>
      <w:szCs w:val="40"/>
    </w:rPr>
  </w:style>
  <w:style w:type="character" w:styleId="799" w:customStyle="1">
    <w:name w:val="Заголовок 2 Знак"/>
    <w:basedOn w:val="760"/>
    <w:link w:val="752"/>
    <w:uiPriority w:val="9"/>
    <w:rPr>
      <w:rFonts w:ascii="Arial" w:hAnsi="Arial" w:cs="Arial" w:eastAsia="Arial"/>
      <w:sz w:val="34"/>
    </w:rPr>
  </w:style>
  <w:style w:type="character" w:styleId="800" w:customStyle="1">
    <w:name w:val="Заголовок 3 Знак"/>
    <w:basedOn w:val="760"/>
    <w:link w:val="753"/>
    <w:uiPriority w:val="9"/>
    <w:rPr>
      <w:rFonts w:ascii="Arial" w:hAnsi="Arial" w:cs="Arial" w:eastAsia="Arial"/>
      <w:sz w:val="30"/>
      <w:szCs w:val="30"/>
    </w:rPr>
  </w:style>
  <w:style w:type="character" w:styleId="801" w:customStyle="1">
    <w:name w:val="Заголовок 4 Знак"/>
    <w:basedOn w:val="760"/>
    <w:link w:val="754"/>
    <w:uiPriority w:val="9"/>
    <w:rPr>
      <w:rFonts w:ascii="Arial" w:hAnsi="Arial" w:cs="Arial" w:eastAsia="Arial"/>
      <w:b/>
      <w:bCs/>
      <w:sz w:val="26"/>
      <w:szCs w:val="26"/>
    </w:rPr>
  </w:style>
  <w:style w:type="character" w:styleId="802" w:customStyle="1">
    <w:name w:val="Заголовок 5 Знак"/>
    <w:basedOn w:val="760"/>
    <w:link w:val="755"/>
    <w:uiPriority w:val="9"/>
    <w:rPr>
      <w:rFonts w:ascii="Arial" w:hAnsi="Arial" w:cs="Arial" w:eastAsia="Arial"/>
      <w:b/>
      <w:bCs/>
      <w:sz w:val="24"/>
      <w:szCs w:val="24"/>
    </w:rPr>
  </w:style>
  <w:style w:type="character" w:styleId="803" w:customStyle="1">
    <w:name w:val="Заголовок 6 Знак"/>
    <w:basedOn w:val="760"/>
    <w:link w:val="756"/>
    <w:uiPriority w:val="9"/>
    <w:rPr>
      <w:rFonts w:ascii="Arial" w:hAnsi="Arial" w:cs="Arial" w:eastAsia="Arial"/>
      <w:b/>
      <w:bCs/>
      <w:sz w:val="22"/>
      <w:szCs w:val="22"/>
    </w:rPr>
  </w:style>
  <w:style w:type="character" w:styleId="804" w:customStyle="1">
    <w:name w:val="Заголовок 7 Знак"/>
    <w:basedOn w:val="760"/>
    <w:link w:val="75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805" w:customStyle="1">
    <w:name w:val="Заголовок 8 Знак"/>
    <w:basedOn w:val="760"/>
    <w:link w:val="758"/>
    <w:uiPriority w:val="9"/>
    <w:rPr>
      <w:rFonts w:ascii="Arial" w:hAnsi="Arial" w:cs="Arial" w:eastAsia="Arial"/>
      <w:i/>
      <w:iCs/>
      <w:sz w:val="22"/>
      <w:szCs w:val="22"/>
    </w:rPr>
  </w:style>
  <w:style w:type="character" w:styleId="806" w:customStyle="1">
    <w:name w:val="Заголовок 9 Знак"/>
    <w:basedOn w:val="760"/>
    <w:link w:val="759"/>
    <w:uiPriority w:val="9"/>
    <w:rPr>
      <w:rFonts w:ascii="Arial" w:hAnsi="Arial" w:cs="Arial" w:eastAsia="Arial"/>
      <w:i/>
      <w:iCs/>
      <w:sz w:val="21"/>
      <w:szCs w:val="21"/>
    </w:rPr>
  </w:style>
  <w:style w:type="paragraph" w:styleId="807">
    <w:name w:val="No Spacing"/>
    <w:uiPriority w:val="1"/>
    <w:qFormat/>
  </w:style>
  <w:style w:type="character" w:styleId="808" w:customStyle="1">
    <w:name w:val="Название Знак"/>
    <w:basedOn w:val="760"/>
    <w:link w:val="809"/>
    <w:uiPriority w:val="10"/>
    <w:rPr>
      <w:sz w:val="48"/>
      <w:szCs w:val="48"/>
    </w:rPr>
  </w:style>
  <w:style w:type="paragraph" w:styleId="809">
    <w:name w:val="Title"/>
    <w:basedOn w:val="750"/>
    <w:next w:val="750"/>
    <w:link w:val="808"/>
    <w:pPr>
      <w:keepLines/>
      <w:keepNext/>
      <w:spacing w:before="480" w:after="120"/>
    </w:pPr>
    <w:rPr>
      <w:b/>
      <w:sz w:val="72"/>
      <w:szCs w:val="72"/>
    </w:rPr>
  </w:style>
  <w:style w:type="character" w:styleId="810" w:customStyle="1">
    <w:name w:val="Подзаголовок Знак"/>
    <w:basedOn w:val="760"/>
    <w:link w:val="811"/>
    <w:uiPriority w:val="11"/>
    <w:rPr>
      <w:sz w:val="24"/>
      <w:szCs w:val="24"/>
    </w:rPr>
  </w:style>
  <w:style w:type="paragraph" w:styleId="811">
    <w:name w:val="Subtitle"/>
    <w:basedOn w:val="750"/>
    <w:next w:val="750"/>
    <w:link w:val="810"/>
    <w:pPr>
      <w:keepLines/>
      <w:keepNext/>
      <w:spacing w:before="360" w:after="80"/>
    </w:pPr>
    <w:rPr>
      <w:rFonts w:ascii="Georgia" w:hAnsi="Georgia" w:cs="Georgia" w:eastAsia="Georgia"/>
      <w:i/>
      <w:color w:val="666666"/>
      <w:sz w:val="48"/>
      <w:szCs w:val="48"/>
    </w:rPr>
  </w:style>
  <w:style w:type="paragraph" w:styleId="812">
    <w:name w:val="Quote"/>
    <w:basedOn w:val="750"/>
    <w:next w:val="750"/>
    <w:link w:val="813"/>
    <w:uiPriority w:val="29"/>
    <w:qFormat/>
    <w:pPr>
      <w:ind w:left="720" w:right="720"/>
    </w:pPr>
    <w:rPr>
      <w:i/>
    </w:rPr>
  </w:style>
  <w:style w:type="character" w:styleId="813" w:customStyle="1">
    <w:name w:val="Цитата 2 Знак"/>
    <w:link w:val="812"/>
    <w:uiPriority w:val="29"/>
    <w:rPr>
      <w:i/>
    </w:rPr>
  </w:style>
  <w:style w:type="paragraph" w:styleId="814">
    <w:name w:val="Intense Quote"/>
    <w:basedOn w:val="750"/>
    <w:next w:val="750"/>
    <w:link w:val="81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5" w:customStyle="1">
    <w:name w:val="Выделенная цитата Знак"/>
    <w:link w:val="814"/>
    <w:uiPriority w:val="30"/>
    <w:rPr>
      <w:i/>
    </w:rPr>
  </w:style>
  <w:style w:type="paragraph" w:styleId="816">
    <w:name w:val="Header"/>
    <w:basedOn w:val="750"/>
    <w:link w:val="81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817" w:customStyle="1">
    <w:name w:val="Верхний колонтитул Знак"/>
    <w:basedOn w:val="760"/>
    <w:link w:val="816"/>
    <w:uiPriority w:val="99"/>
  </w:style>
  <w:style w:type="paragraph" w:styleId="818">
    <w:name w:val="Footer"/>
    <w:basedOn w:val="750"/>
    <w:link w:val="819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819" w:customStyle="1">
    <w:name w:val="Нижний колонтитул Знак"/>
    <w:link w:val="818"/>
    <w:uiPriority w:val="99"/>
  </w:style>
  <w:style w:type="character" w:styleId="820" w:customStyle="1">
    <w:name w:val="Footer Char"/>
    <w:basedOn w:val="760"/>
    <w:uiPriority w:val="99"/>
  </w:style>
  <w:style w:type="paragraph" w:styleId="821">
    <w:name w:val="Caption"/>
    <w:basedOn w:val="750"/>
    <w:next w:val="7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822" w:customStyle="1">
    <w:name w:val="Table Grid Light"/>
    <w:basedOn w:val="76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 w:customStyle="1">
    <w:name w:val="Таблица простая 11"/>
    <w:basedOn w:val="76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4" w:customStyle="1">
    <w:name w:val="Таблица простая 21"/>
    <w:basedOn w:val="76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5" w:customStyle="1">
    <w:name w:val="Таблица простая 31"/>
    <w:basedOn w:val="76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6" w:customStyle="1">
    <w:name w:val="Таблица простая 41"/>
    <w:basedOn w:val="76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Таблица простая 51"/>
    <w:basedOn w:val="76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8" w:customStyle="1">
    <w:name w:val="Таблица-сетка 1 светлая1"/>
    <w:basedOn w:val="76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Grid Table 1 Light - Accent 1"/>
    <w:basedOn w:val="76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Grid Table 1 Light - Accent 2"/>
    <w:basedOn w:val="761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Grid Table 1 Light - Accent 3"/>
    <w:basedOn w:val="761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Grid Table 1 Light - Accent 4"/>
    <w:basedOn w:val="761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Grid Table 1 Light - Accent 5"/>
    <w:basedOn w:val="761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Grid Table 1 Light - Accent 6"/>
    <w:basedOn w:val="761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Таблица-сетка 21"/>
    <w:basedOn w:val="76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2 - Accent 1"/>
    <w:basedOn w:val="76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2 - Accent 2"/>
    <w:basedOn w:val="761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2 - Accent 3"/>
    <w:basedOn w:val="761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2 - Accent 4"/>
    <w:basedOn w:val="761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2 - Accent 5"/>
    <w:basedOn w:val="761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2 - Accent 6"/>
    <w:basedOn w:val="761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Таблица-сетка 31"/>
    <w:basedOn w:val="76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3 - Accent 1"/>
    <w:basedOn w:val="76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3 - Accent 2"/>
    <w:basedOn w:val="761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3 - Accent 3"/>
    <w:basedOn w:val="761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3 - Accent 4"/>
    <w:basedOn w:val="761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3 - Accent 5"/>
    <w:basedOn w:val="761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3 - Accent 6"/>
    <w:basedOn w:val="761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Таблица-сетка 41"/>
    <w:basedOn w:val="76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0" w:customStyle="1">
    <w:name w:val="Grid Table 4 - Accent 1"/>
    <w:basedOn w:val="76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51" w:customStyle="1">
    <w:name w:val="Grid Table 4 - Accent 2"/>
    <w:basedOn w:val="761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52" w:customStyle="1">
    <w:name w:val="Grid Table 4 - Accent 3"/>
    <w:basedOn w:val="761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53" w:customStyle="1">
    <w:name w:val="Grid Table 4 - Accent 4"/>
    <w:basedOn w:val="761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54" w:customStyle="1">
    <w:name w:val="Grid Table 4 - Accent 5"/>
    <w:basedOn w:val="761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55" w:customStyle="1">
    <w:name w:val="Grid Table 4 - Accent 6"/>
    <w:basedOn w:val="761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56" w:customStyle="1">
    <w:name w:val="Таблица-сетка 5 темная1"/>
    <w:basedOn w:val="76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57" w:customStyle="1">
    <w:name w:val="Grid Table 5 Dark- Accent 1"/>
    <w:basedOn w:val="76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58" w:customStyle="1">
    <w:name w:val="Grid Table 5 Dark - Accent 2"/>
    <w:basedOn w:val="76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59" w:customStyle="1">
    <w:name w:val="Grid Table 5 Dark - Accent 3"/>
    <w:basedOn w:val="76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60" w:customStyle="1">
    <w:name w:val="Grid Table 5 Dark- Accent 4"/>
    <w:basedOn w:val="76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61" w:customStyle="1">
    <w:name w:val="Grid Table 5 Dark - Accent 5"/>
    <w:basedOn w:val="76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62" w:customStyle="1">
    <w:name w:val="Grid Table 5 Dark - Accent 6"/>
    <w:basedOn w:val="76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63" w:customStyle="1">
    <w:name w:val="Таблица-сетка 6 цветная1"/>
    <w:basedOn w:val="76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64" w:customStyle="1">
    <w:name w:val="Grid Table 6 Colorful - Accent 1"/>
    <w:basedOn w:val="76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65" w:customStyle="1">
    <w:name w:val="Grid Table 6 Colorful - Accent 2"/>
    <w:basedOn w:val="76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66" w:customStyle="1">
    <w:name w:val="Grid Table 6 Colorful - Accent 3"/>
    <w:basedOn w:val="761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67" w:customStyle="1">
    <w:name w:val="Grid Table 6 Colorful - Accent 4"/>
    <w:basedOn w:val="76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68" w:customStyle="1">
    <w:name w:val="Grid Table 6 Colorful - Accent 5"/>
    <w:basedOn w:val="761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9" w:customStyle="1">
    <w:name w:val="Grid Table 6 Colorful - Accent 6"/>
    <w:basedOn w:val="761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70" w:customStyle="1">
    <w:name w:val="Таблица-сетка 7 цветная1"/>
    <w:basedOn w:val="76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1" w:customStyle="1">
    <w:name w:val="Grid Table 7 Colorful - Accent 1"/>
    <w:basedOn w:val="76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2" w:customStyle="1">
    <w:name w:val="Grid Table 7 Colorful - Accent 2"/>
    <w:basedOn w:val="761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3" w:customStyle="1">
    <w:name w:val="Grid Table 7 Colorful - Accent 3"/>
    <w:basedOn w:val="761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4" w:customStyle="1">
    <w:name w:val="Grid Table 7 Colorful - Accent 4"/>
    <w:basedOn w:val="761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5" w:customStyle="1">
    <w:name w:val="Grid Table 7 Colorful - Accent 5"/>
    <w:basedOn w:val="761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6" w:customStyle="1">
    <w:name w:val="Grid Table 7 Colorful - Accent 6"/>
    <w:basedOn w:val="761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7" w:customStyle="1">
    <w:name w:val="Список-таблица 1 светлая1"/>
    <w:basedOn w:val="76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1 Light - Accent 1"/>
    <w:basedOn w:val="76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1 Light - Accent 2"/>
    <w:basedOn w:val="76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1 Light - Accent 3"/>
    <w:basedOn w:val="76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1 Light - Accent 4"/>
    <w:basedOn w:val="76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1 Light - Accent 5"/>
    <w:basedOn w:val="76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1 Light - Accent 6"/>
    <w:basedOn w:val="76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Список-таблица 21"/>
    <w:basedOn w:val="76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85" w:customStyle="1">
    <w:name w:val="List Table 2 - Accent 1"/>
    <w:basedOn w:val="76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86" w:customStyle="1">
    <w:name w:val="List Table 2 - Accent 2"/>
    <w:basedOn w:val="761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87" w:customStyle="1">
    <w:name w:val="List Table 2 - Accent 3"/>
    <w:basedOn w:val="761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88" w:customStyle="1">
    <w:name w:val="List Table 2 - Accent 4"/>
    <w:basedOn w:val="761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89" w:customStyle="1">
    <w:name w:val="List Table 2 - Accent 5"/>
    <w:basedOn w:val="761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90" w:customStyle="1">
    <w:name w:val="List Table 2 - Accent 6"/>
    <w:basedOn w:val="761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91" w:customStyle="1">
    <w:name w:val="Список-таблица 31"/>
    <w:basedOn w:val="76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3 - Accent 1"/>
    <w:basedOn w:val="76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3 - Accent 2"/>
    <w:basedOn w:val="76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3 - Accent 3"/>
    <w:basedOn w:val="761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3 - Accent 4"/>
    <w:basedOn w:val="76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3 - Accent 5"/>
    <w:basedOn w:val="761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3 - Accent 6"/>
    <w:basedOn w:val="761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Список-таблица 41"/>
    <w:basedOn w:val="76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List Table 4 - Accent 1"/>
    <w:basedOn w:val="76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List Table 4 - Accent 2"/>
    <w:basedOn w:val="761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List Table 4 - Accent 3"/>
    <w:basedOn w:val="761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List Table 4 - Accent 4"/>
    <w:basedOn w:val="761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List Table 4 - Accent 5"/>
    <w:basedOn w:val="761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List Table 4 - Accent 6"/>
    <w:basedOn w:val="761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 w:customStyle="1">
    <w:name w:val="Список-таблица 5 темная1"/>
    <w:basedOn w:val="76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6" w:customStyle="1">
    <w:name w:val="List Table 5 Dark - Accent 1"/>
    <w:basedOn w:val="76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7" w:customStyle="1">
    <w:name w:val="List Table 5 Dark - Accent 2"/>
    <w:basedOn w:val="76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8" w:customStyle="1">
    <w:name w:val="List Table 5 Dark - Accent 3"/>
    <w:basedOn w:val="761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9" w:customStyle="1">
    <w:name w:val="List Table 5 Dark - Accent 4"/>
    <w:basedOn w:val="76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0" w:customStyle="1">
    <w:name w:val="List Table 5 Dark - Accent 5"/>
    <w:basedOn w:val="761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1" w:customStyle="1">
    <w:name w:val="List Table 5 Dark - Accent 6"/>
    <w:basedOn w:val="761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2" w:customStyle="1">
    <w:name w:val="Список-таблица 6 цветная1"/>
    <w:basedOn w:val="76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13" w:customStyle="1">
    <w:name w:val="List Table 6 Colorful - Accent 1"/>
    <w:basedOn w:val="76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14" w:customStyle="1">
    <w:name w:val="List Table 6 Colorful - Accent 2"/>
    <w:basedOn w:val="76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15" w:customStyle="1">
    <w:name w:val="List Table 6 Colorful - Accent 3"/>
    <w:basedOn w:val="761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16" w:customStyle="1">
    <w:name w:val="List Table 6 Colorful - Accent 4"/>
    <w:basedOn w:val="76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17" w:customStyle="1">
    <w:name w:val="List Table 6 Colorful - Accent 5"/>
    <w:basedOn w:val="761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18" w:customStyle="1">
    <w:name w:val="List Table 6 Colorful - Accent 6"/>
    <w:basedOn w:val="761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19" w:customStyle="1">
    <w:name w:val="Список-таблица 7 цветная1"/>
    <w:basedOn w:val="76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20" w:customStyle="1">
    <w:name w:val="List Table 7 Colorful - Accent 1"/>
    <w:basedOn w:val="76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21" w:customStyle="1">
    <w:name w:val="List Table 7 Colorful - Accent 2"/>
    <w:basedOn w:val="761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22" w:customStyle="1">
    <w:name w:val="List Table 7 Colorful - Accent 3"/>
    <w:basedOn w:val="761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23" w:customStyle="1">
    <w:name w:val="List Table 7 Colorful - Accent 4"/>
    <w:basedOn w:val="761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24" w:customStyle="1">
    <w:name w:val="List Table 7 Colorful - Accent 5"/>
    <w:basedOn w:val="761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25" w:customStyle="1">
    <w:name w:val="List Table 7 Colorful - Accent 6"/>
    <w:basedOn w:val="761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26" w:customStyle="1">
    <w:name w:val="Lined - Accent"/>
    <w:basedOn w:val="76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7" w:customStyle="1">
    <w:name w:val="Lined - Accent 1"/>
    <w:basedOn w:val="76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8" w:customStyle="1">
    <w:name w:val="Lined - Accent 2"/>
    <w:basedOn w:val="76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9" w:customStyle="1">
    <w:name w:val="Lined - Accent 3"/>
    <w:basedOn w:val="76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0" w:customStyle="1">
    <w:name w:val="Lined - Accent 4"/>
    <w:basedOn w:val="76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1" w:customStyle="1">
    <w:name w:val="Lined - Accent 5"/>
    <w:basedOn w:val="76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2" w:customStyle="1">
    <w:name w:val="Lined - Accent 6"/>
    <w:basedOn w:val="76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3" w:customStyle="1">
    <w:name w:val="Bordered &amp; Lined - Accent"/>
    <w:basedOn w:val="76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4" w:customStyle="1">
    <w:name w:val="Bordered &amp; Lined - Accent 1"/>
    <w:basedOn w:val="76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35" w:customStyle="1">
    <w:name w:val="Bordered &amp; Lined - Accent 2"/>
    <w:basedOn w:val="76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36" w:customStyle="1">
    <w:name w:val="Bordered &amp; Lined - Accent 3"/>
    <w:basedOn w:val="76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7" w:customStyle="1">
    <w:name w:val="Bordered &amp; Lined - Accent 4"/>
    <w:basedOn w:val="76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8" w:customStyle="1">
    <w:name w:val="Bordered &amp; Lined - Accent 5"/>
    <w:basedOn w:val="76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9" w:customStyle="1">
    <w:name w:val="Bordered &amp; Lined - Accent 6"/>
    <w:basedOn w:val="76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40" w:customStyle="1">
    <w:name w:val="Bordered"/>
    <w:basedOn w:val="761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41" w:customStyle="1">
    <w:name w:val="Bordered - Accent 1"/>
    <w:basedOn w:val="76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42" w:customStyle="1">
    <w:name w:val="Bordered - Accent 2"/>
    <w:basedOn w:val="761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43" w:customStyle="1">
    <w:name w:val="Bordered - Accent 3"/>
    <w:basedOn w:val="761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44" w:customStyle="1">
    <w:name w:val="Bordered - Accent 4"/>
    <w:basedOn w:val="761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45" w:customStyle="1">
    <w:name w:val="Bordered - Accent 5"/>
    <w:basedOn w:val="761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46" w:customStyle="1">
    <w:name w:val="Bordered - Accent 6"/>
    <w:basedOn w:val="761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47" w:customStyle="1">
    <w:name w:val="Footnote Text Char"/>
    <w:uiPriority w:val="99"/>
    <w:rPr>
      <w:sz w:val="18"/>
    </w:rPr>
  </w:style>
  <w:style w:type="paragraph" w:styleId="948">
    <w:name w:val="endnote text"/>
    <w:basedOn w:val="750"/>
    <w:link w:val="949"/>
    <w:uiPriority w:val="99"/>
    <w:semiHidden/>
    <w:unhideWhenUsed/>
  </w:style>
  <w:style w:type="character" w:styleId="949" w:customStyle="1">
    <w:name w:val="Текст концевой сноски Знак"/>
    <w:link w:val="948"/>
    <w:uiPriority w:val="99"/>
    <w:rPr>
      <w:sz w:val="20"/>
    </w:rPr>
  </w:style>
  <w:style w:type="character" w:styleId="950">
    <w:name w:val="endnote reference"/>
    <w:basedOn w:val="760"/>
    <w:uiPriority w:val="99"/>
    <w:semiHidden/>
    <w:unhideWhenUsed/>
    <w:rPr>
      <w:vertAlign w:val="superscript"/>
    </w:rPr>
  </w:style>
  <w:style w:type="paragraph" w:styleId="951">
    <w:name w:val="toc 1"/>
    <w:basedOn w:val="750"/>
    <w:next w:val="750"/>
    <w:uiPriority w:val="39"/>
    <w:unhideWhenUsed/>
    <w:pPr>
      <w:spacing w:after="57"/>
    </w:pPr>
  </w:style>
  <w:style w:type="paragraph" w:styleId="952">
    <w:name w:val="toc 2"/>
    <w:basedOn w:val="750"/>
    <w:next w:val="750"/>
    <w:uiPriority w:val="39"/>
    <w:unhideWhenUsed/>
    <w:pPr>
      <w:ind w:left="283"/>
      <w:spacing w:after="57"/>
    </w:pPr>
  </w:style>
  <w:style w:type="paragraph" w:styleId="953">
    <w:name w:val="toc 3"/>
    <w:basedOn w:val="750"/>
    <w:next w:val="750"/>
    <w:uiPriority w:val="39"/>
    <w:unhideWhenUsed/>
    <w:pPr>
      <w:ind w:left="567"/>
      <w:spacing w:after="57"/>
    </w:pPr>
  </w:style>
  <w:style w:type="paragraph" w:styleId="954">
    <w:name w:val="toc 4"/>
    <w:basedOn w:val="750"/>
    <w:next w:val="750"/>
    <w:uiPriority w:val="39"/>
    <w:unhideWhenUsed/>
    <w:pPr>
      <w:ind w:left="850"/>
      <w:spacing w:after="57"/>
    </w:pPr>
  </w:style>
  <w:style w:type="paragraph" w:styleId="955">
    <w:name w:val="toc 5"/>
    <w:basedOn w:val="750"/>
    <w:next w:val="750"/>
    <w:uiPriority w:val="39"/>
    <w:unhideWhenUsed/>
    <w:pPr>
      <w:ind w:left="1134"/>
      <w:spacing w:after="57"/>
    </w:pPr>
  </w:style>
  <w:style w:type="paragraph" w:styleId="956">
    <w:name w:val="toc 6"/>
    <w:basedOn w:val="750"/>
    <w:next w:val="750"/>
    <w:uiPriority w:val="39"/>
    <w:unhideWhenUsed/>
    <w:pPr>
      <w:ind w:left="1417"/>
      <w:spacing w:after="57"/>
    </w:pPr>
  </w:style>
  <w:style w:type="paragraph" w:styleId="957">
    <w:name w:val="toc 7"/>
    <w:basedOn w:val="750"/>
    <w:next w:val="750"/>
    <w:uiPriority w:val="39"/>
    <w:unhideWhenUsed/>
    <w:pPr>
      <w:ind w:left="1701"/>
      <w:spacing w:after="57"/>
    </w:pPr>
  </w:style>
  <w:style w:type="paragraph" w:styleId="958">
    <w:name w:val="toc 8"/>
    <w:basedOn w:val="750"/>
    <w:next w:val="750"/>
    <w:uiPriority w:val="39"/>
    <w:unhideWhenUsed/>
    <w:pPr>
      <w:ind w:left="1984"/>
      <w:spacing w:after="57"/>
    </w:pPr>
  </w:style>
  <w:style w:type="paragraph" w:styleId="959">
    <w:name w:val="toc 9"/>
    <w:basedOn w:val="750"/>
    <w:next w:val="750"/>
    <w:uiPriority w:val="39"/>
    <w:unhideWhenUsed/>
    <w:pPr>
      <w:ind w:left="2268"/>
      <w:spacing w:after="57"/>
    </w:pPr>
  </w:style>
  <w:style w:type="paragraph" w:styleId="960">
    <w:name w:val="TOC Heading"/>
    <w:uiPriority w:val="39"/>
    <w:unhideWhenUsed/>
  </w:style>
  <w:style w:type="paragraph" w:styleId="961">
    <w:name w:val="table of figures"/>
    <w:basedOn w:val="750"/>
    <w:next w:val="750"/>
    <w:uiPriority w:val="99"/>
    <w:unhideWhenUsed/>
  </w:style>
  <w:style w:type="table" w:styleId="962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963" w:customStyle="1">
    <w:name w:val="StGen0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64" w:customStyle="1">
    <w:name w:val="StGen1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65" w:customStyle="1">
    <w:name w:val="StGen2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66" w:customStyle="1">
    <w:name w:val="StGen3"/>
    <w:basedOn w:val="962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table" w:styleId="967" w:customStyle="1">
    <w:name w:val="StGen4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68" w:customStyle="1">
    <w:name w:val="StGen5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69" w:customStyle="1">
    <w:name w:val="StGen6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70" w:customStyle="1">
    <w:name w:val="StGen7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71" w:customStyle="1">
    <w:name w:val="StGen8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72" w:customStyle="1">
    <w:name w:val="StGen9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73" w:customStyle="1">
    <w:name w:val="StGen10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74" w:customStyle="1">
    <w:name w:val="StGen11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75" w:customStyle="1">
    <w:name w:val="StGen12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76" w:customStyle="1">
    <w:name w:val="StGen13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77" w:customStyle="1">
    <w:name w:val="StGen14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78" w:customStyle="1">
    <w:name w:val="StGen15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79" w:customStyle="1">
    <w:name w:val="StGen16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80" w:customStyle="1">
    <w:name w:val="StGen17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81" w:customStyle="1">
    <w:name w:val="StGen18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82" w:customStyle="1">
    <w:name w:val="StGen19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83" w:customStyle="1">
    <w:name w:val="StGen20"/>
    <w:basedOn w:val="962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table" w:styleId="984" w:customStyle="1">
    <w:name w:val="StGen21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85" w:customStyle="1">
    <w:name w:val="StGen22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86" w:customStyle="1">
    <w:name w:val="StGen23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87" w:customStyle="1">
    <w:name w:val="StGen24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88" w:customStyle="1">
    <w:name w:val="StGen25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89" w:customStyle="1">
    <w:name w:val="StGen26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90" w:customStyle="1">
    <w:name w:val="StGen27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91" w:customStyle="1">
    <w:name w:val="StGen28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92" w:customStyle="1">
    <w:name w:val="StGen29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93" w:customStyle="1">
    <w:name w:val="StGen30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94" w:customStyle="1">
    <w:name w:val="StGen31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95" w:customStyle="1">
    <w:name w:val="StGen32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96" w:customStyle="1">
    <w:name w:val="StGen33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97" w:customStyle="1">
    <w:name w:val="StGen34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98" w:customStyle="1">
    <w:name w:val="StGen35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99" w:customStyle="1">
    <w:name w:val="StGen36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00" w:customStyle="1">
    <w:name w:val="StGen37"/>
    <w:basedOn w:val="962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table" w:styleId="1001" w:customStyle="1">
    <w:name w:val="StGen38"/>
    <w:basedOn w:val="962"/>
    <w:link w:val="1101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02" w:customStyle="1">
    <w:name w:val="StGen39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03" w:customStyle="1">
    <w:name w:val="StGen40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04" w:customStyle="1">
    <w:name w:val="StGen41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05" w:customStyle="1">
    <w:name w:val="StGen42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06" w:customStyle="1">
    <w:name w:val="StGen43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07" w:customStyle="1">
    <w:name w:val="StGen44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08" w:customStyle="1">
    <w:name w:val="StGen45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09" w:customStyle="1">
    <w:name w:val="StGen46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10" w:customStyle="1">
    <w:name w:val="StGen47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11" w:customStyle="1">
    <w:name w:val="StGen48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12" w:customStyle="1">
    <w:name w:val="StGen49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13" w:customStyle="1">
    <w:name w:val="StGen50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14" w:customStyle="1">
    <w:name w:val="StGen51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15" w:customStyle="1">
    <w:name w:val="StGen52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16" w:customStyle="1">
    <w:name w:val="StGen53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17" w:customStyle="1">
    <w:name w:val="StGen54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18" w:customStyle="1">
    <w:name w:val="StGen55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19" w:customStyle="1">
    <w:name w:val="StGen56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20" w:customStyle="1">
    <w:name w:val="StGen57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21" w:customStyle="1">
    <w:name w:val="StGen58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22" w:customStyle="1">
    <w:name w:val="StGen59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23" w:customStyle="1">
    <w:name w:val="StGen60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24" w:customStyle="1">
    <w:name w:val="StGen61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25" w:customStyle="1">
    <w:name w:val="StGen62"/>
    <w:basedOn w:val="962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1026" w:customStyle="1">
    <w:name w:val="StGen63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27" w:customStyle="1">
    <w:name w:val="StGen64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28" w:customStyle="1">
    <w:name w:val="StGen65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29" w:customStyle="1">
    <w:name w:val="StGen66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30" w:customStyle="1">
    <w:name w:val="StGen67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31" w:customStyle="1">
    <w:name w:val="StGen68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32" w:customStyle="1">
    <w:name w:val="StGen69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33" w:customStyle="1">
    <w:name w:val="StGen70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34" w:customStyle="1">
    <w:name w:val="StGen71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35" w:customStyle="1">
    <w:name w:val="StGen72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36" w:customStyle="1">
    <w:name w:val="StGen73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1037" w:customStyle="1">
    <w:name w:val="StGen74"/>
    <w:basedOn w:val="962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paragraph" w:styleId="1038">
    <w:name w:val="Balloon Text"/>
    <w:basedOn w:val="750"/>
    <w:link w:val="1039"/>
    <w:uiPriority w:val="99"/>
    <w:semiHidden/>
    <w:unhideWhenUsed/>
    <w:rPr>
      <w:rFonts w:ascii="Tahoma" w:hAnsi="Tahoma" w:cs="Tahoma"/>
      <w:sz w:val="16"/>
      <w:szCs w:val="16"/>
    </w:rPr>
  </w:style>
  <w:style w:type="character" w:styleId="1039" w:customStyle="1">
    <w:name w:val="Текст выноски Знак"/>
    <w:basedOn w:val="760"/>
    <w:link w:val="1038"/>
    <w:uiPriority w:val="99"/>
    <w:semiHidden/>
    <w:rPr>
      <w:rFonts w:ascii="Tahoma" w:hAnsi="Tahoma" w:cs="Tahoma"/>
      <w:sz w:val="16"/>
      <w:szCs w:val="16"/>
    </w:rPr>
  </w:style>
  <w:style w:type="paragraph" w:styleId="1040">
    <w:name w:val="List Paragraph"/>
    <w:basedOn w:val="750"/>
    <w:uiPriority w:val="34"/>
    <w:qFormat/>
    <w:pPr>
      <w:contextualSpacing/>
      <w:ind w:left="720"/>
    </w:pPr>
  </w:style>
  <w:style w:type="paragraph" w:styleId="1041">
    <w:name w:val="footnote text"/>
    <w:basedOn w:val="750"/>
    <w:link w:val="1042"/>
    <w:uiPriority w:val="99"/>
    <w:semiHidden/>
    <w:unhideWhenUsed/>
  </w:style>
  <w:style w:type="character" w:styleId="1042" w:customStyle="1">
    <w:name w:val="Текст сноски Знак"/>
    <w:basedOn w:val="760"/>
    <w:link w:val="1041"/>
    <w:uiPriority w:val="99"/>
    <w:semiHidden/>
  </w:style>
  <w:style w:type="character" w:styleId="1043">
    <w:name w:val="footnote reference"/>
    <w:basedOn w:val="760"/>
    <w:uiPriority w:val="99"/>
    <w:semiHidden/>
    <w:unhideWhenUsed/>
    <w:rPr>
      <w:vertAlign w:val="superscript"/>
    </w:rPr>
  </w:style>
  <w:style w:type="paragraph" w:styleId="1044" w:customStyle="1">
    <w:name w:val="ConsPlusNormal"/>
    <w:pPr>
      <w:widowControl w:val="off"/>
    </w:pPr>
    <w:rPr>
      <w:rFonts w:eastAsia="Times New Roman"/>
      <w:sz w:val="22"/>
    </w:rPr>
  </w:style>
  <w:style w:type="paragraph" w:styleId="1045">
    <w:name w:val="Body Text"/>
    <w:basedOn w:val="750"/>
    <w:link w:val="1046"/>
    <w:uiPriority w:val="99"/>
    <w:pPr>
      <w:ind w:firstLine="720"/>
      <w:jc w:val="both"/>
      <w:spacing w:after="360" w:line="317" w:lineRule="exact"/>
      <w:shd w:val="clear" w:color="auto" w:fill="ffffff"/>
    </w:pPr>
    <w:rPr>
      <w:rFonts w:ascii="Times New Roman" w:hAnsi="Times New Roman" w:cs="Times New Roman" w:eastAsia="Arial Unicode MS"/>
      <w:sz w:val="24"/>
      <w:szCs w:val="24"/>
    </w:rPr>
  </w:style>
  <w:style w:type="character" w:styleId="1046" w:customStyle="1">
    <w:name w:val="Основной текст Знак"/>
    <w:basedOn w:val="760"/>
    <w:link w:val="1045"/>
    <w:uiPriority w:val="99"/>
    <w:rPr>
      <w:rFonts w:ascii="Times New Roman" w:hAnsi="Times New Roman" w:cs="Times New Roman" w:eastAsia="Arial Unicode MS"/>
      <w:sz w:val="24"/>
      <w:szCs w:val="24"/>
      <w:shd w:val="clear" w:color="auto" w:fill="ffffff"/>
    </w:rPr>
  </w:style>
  <w:style w:type="table" w:styleId="1047">
    <w:name w:val="Table Grid"/>
    <w:basedOn w:val="761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1048" w:customStyle="1">
    <w:name w:val="ConsPlusTitle"/>
    <w:uiPriority w:val="99"/>
    <w:pPr>
      <w:widowControl w:val="off"/>
    </w:pPr>
    <w:rPr>
      <w:rFonts w:ascii="Arial" w:hAnsi="Arial" w:cs="Arial" w:eastAsiaTheme="minorEastAsia"/>
      <w:b/>
      <w:bCs/>
      <w:sz w:val="24"/>
      <w:szCs w:val="24"/>
    </w:rPr>
  </w:style>
  <w:style w:type="character" w:styleId="1049">
    <w:name w:val="Hyperlink"/>
    <w:basedOn w:val="760"/>
    <w:uiPriority w:val="99"/>
    <w:semiHidden/>
    <w:unhideWhenUsed/>
    <w:rPr>
      <w:color w:val="0000FF"/>
      <w:u w:val="single"/>
    </w:rPr>
  </w:style>
  <w:style w:type="character" w:styleId="1050">
    <w:name w:val="FollowedHyperlink"/>
    <w:basedOn w:val="760"/>
    <w:uiPriority w:val="99"/>
    <w:semiHidden/>
    <w:unhideWhenUsed/>
    <w:rPr>
      <w:color w:val="800080"/>
      <w:u w:val="single"/>
    </w:rPr>
  </w:style>
  <w:style w:type="paragraph" w:styleId="1051" w:customStyle="1">
    <w:name w:val="xl74"/>
    <w:basedOn w:val="750"/>
    <w:pPr>
      <w:jc w:val="center"/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</w:rPr>
  </w:style>
  <w:style w:type="paragraph" w:styleId="1052" w:customStyle="1">
    <w:name w:val="xl75"/>
    <w:basedOn w:val="750"/>
    <w:pPr>
      <w:jc w:val="center"/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4"/>
      <w:szCs w:val="24"/>
    </w:rPr>
  </w:style>
  <w:style w:type="paragraph" w:styleId="1053" w:customStyle="1">
    <w:name w:val="xl76"/>
    <w:basedOn w:val="750"/>
    <w:pPr>
      <w:jc w:val="center"/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4"/>
      <w:szCs w:val="24"/>
    </w:rPr>
  </w:style>
  <w:style w:type="paragraph" w:styleId="1054" w:customStyle="1">
    <w:name w:val="xl77"/>
    <w:basedOn w:val="750"/>
    <w:pPr>
      <w:jc w:val="center"/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color w:val="000000"/>
      <w:sz w:val="24"/>
      <w:szCs w:val="24"/>
    </w:rPr>
  </w:style>
  <w:style w:type="paragraph" w:styleId="1055" w:customStyle="1">
    <w:name w:val="xl78"/>
    <w:basedOn w:val="750"/>
    <w:pPr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4"/>
      <w:szCs w:val="24"/>
    </w:rPr>
  </w:style>
  <w:style w:type="paragraph" w:styleId="1056" w:customStyle="1">
    <w:name w:val="xl79"/>
    <w:basedOn w:val="750"/>
    <w:pPr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4"/>
      <w:szCs w:val="24"/>
    </w:rPr>
  </w:style>
  <w:style w:type="paragraph" w:styleId="1057" w:customStyle="1">
    <w:name w:val="xl80"/>
    <w:basedOn w:val="750"/>
    <w:pPr>
      <w:jc w:val="center"/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4"/>
      <w:szCs w:val="24"/>
    </w:rPr>
  </w:style>
  <w:style w:type="paragraph" w:styleId="1058" w:customStyle="1">
    <w:name w:val="xl81"/>
    <w:basedOn w:val="750"/>
    <w:pPr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4"/>
      <w:szCs w:val="24"/>
    </w:rPr>
  </w:style>
  <w:style w:type="paragraph" w:styleId="1059" w:customStyle="1">
    <w:name w:val="xl82"/>
    <w:basedOn w:val="750"/>
    <w:pPr>
      <w:jc w:val="center"/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4"/>
      <w:szCs w:val="24"/>
    </w:rPr>
  </w:style>
  <w:style w:type="paragraph" w:styleId="1060" w:customStyle="1">
    <w:name w:val="xl83"/>
    <w:basedOn w:val="750"/>
    <w:pPr>
      <w:jc w:val="center"/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4"/>
      <w:szCs w:val="24"/>
    </w:rPr>
  </w:style>
  <w:style w:type="paragraph" w:styleId="1061" w:customStyle="1">
    <w:name w:val="xl84"/>
    <w:basedOn w:val="750"/>
    <w:pPr>
      <w:jc w:val="center"/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4"/>
      <w:szCs w:val="24"/>
    </w:rPr>
  </w:style>
  <w:style w:type="paragraph" w:styleId="1062" w:customStyle="1">
    <w:name w:val="xl85"/>
    <w:basedOn w:val="750"/>
    <w:pPr>
      <w:jc w:val="center"/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4"/>
      <w:szCs w:val="24"/>
    </w:rPr>
  </w:style>
  <w:style w:type="paragraph" w:styleId="1063" w:customStyle="1">
    <w:name w:val="xl86"/>
    <w:basedOn w:val="750"/>
    <w:pPr>
      <w:spacing w:before="100" w:beforeAutospacing="1" w:after="100" w:afterAutospacing="1"/>
    </w:pPr>
    <w:rPr>
      <w:rFonts w:ascii="Times New Roman" w:hAnsi="Times New Roman" w:cs="Times New Roman" w:eastAsia="Times New Roman"/>
      <w:sz w:val="24"/>
      <w:szCs w:val="24"/>
    </w:rPr>
  </w:style>
  <w:style w:type="paragraph" w:styleId="1064" w:customStyle="1">
    <w:name w:val="xl87"/>
    <w:basedOn w:val="750"/>
    <w:pPr>
      <w:jc w:val="center"/>
      <w:spacing w:before="100" w:beforeAutospacing="1" w:after="100" w:afterAutospacing="1"/>
    </w:pPr>
    <w:rPr>
      <w:rFonts w:ascii="Times New Roman" w:hAnsi="Times New Roman" w:cs="Times New Roman" w:eastAsia="Times New Roman"/>
      <w:sz w:val="24"/>
      <w:szCs w:val="24"/>
    </w:rPr>
  </w:style>
  <w:style w:type="paragraph" w:styleId="1065" w:customStyle="1">
    <w:name w:val="xl89"/>
    <w:basedOn w:val="750"/>
    <w:pPr>
      <w:jc w:val="center"/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b/>
      <w:bCs/>
      <w:color w:val="000000"/>
      <w:sz w:val="18"/>
      <w:szCs w:val="18"/>
    </w:rPr>
  </w:style>
  <w:style w:type="paragraph" w:styleId="1066" w:customStyle="1">
    <w:name w:val="xl90"/>
    <w:basedOn w:val="750"/>
    <w:pPr>
      <w:jc w:val="center"/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b/>
      <w:bCs/>
      <w:color w:val="000000"/>
      <w:sz w:val="24"/>
      <w:szCs w:val="24"/>
    </w:rPr>
  </w:style>
  <w:style w:type="paragraph" w:styleId="1067" w:customStyle="1">
    <w:name w:val="xl91"/>
    <w:basedOn w:val="750"/>
    <w:pPr>
      <w:jc w:val="center"/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</w:pBdr>
    </w:pPr>
    <w:rPr>
      <w:rFonts w:ascii="Times New Roman" w:hAnsi="Times New Roman" w:cs="Times New Roman" w:eastAsia="Times New Roman"/>
      <w:b/>
      <w:bCs/>
      <w:sz w:val="24"/>
      <w:szCs w:val="24"/>
    </w:rPr>
  </w:style>
  <w:style w:type="paragraph" w:styleId="1068" w:customStyle="1">
    <w:name w:val="xl92"/>
    <w:basedOn w:val="750"/>
    <w:pPr>
      <w:jc w:val="center"/>
      <w:spacing w:before="100" w:beforeAutospacing="1" w:after="100" w:afterAutospacing="1"/>
      <w:pBdr>
        <w:top w:val="single" w:color="auto" w:sz="4" w:space="0"/>
        <w:bottom w:val="single" w:color="auto" w:sz="4" w:space="0"/>
      </w:pBdr>
    </w:pPr>
    <w:rPr>
      <w:rFonts w:ascii="Times New Roman" w:hAnsi="Times New Roman" w:cs="Times New Roman" w:eastAsia="Times New Roman"/>
      <w:b/>
      <w:bCs/>
      <w:sz w:val="24"/>
      <w:szCs w:val="24"/>
    </w:rPr>
  </w:style>
  <w:style w:type="paragraph" w:styleId="1069" w:customStyle="1">
    <w:name w:val="xl93"/>
    <w:basedOn w:val="750"/>
    <w:pPr>
      <w:jc w:val="center"/>
      <w:spacing w:before="100" w:beforeAutospacing="1" w:after="100" w:afterAutospacing="1"/>
      <w:pBdr>
        <w:top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b/>
      <w:bCs/>
      <w:sz w:val="24"/>
      <w:szCs w:val="24"/>
    </w:rPr>
  </w:style>
  <w:style w:type="paragraph" w:styleId="1070" w:customStyle="1">
    <w:name w:val="xl94"/>
    <w:basedOn w:val="750"/>
    <w:pPr>
      <w:jc w:val="center"/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b/>
      <w:bCs/>
      <w:sz w:val="24"/>
      <w:szCs w:val="24"/>
    </w:rPr>
  </w:style>
  <w:style w:type="paragraph" w:styleId="1071" w:customStyle="1">
    <w:name w:val="xl95"/>
    <w:basedOn w:val="750"/>
    <w:pPr>
      <w:spacing w:before="100" w:beforeAutospacing="1" w:after="100" w:afterAutospacing="1"/>
    </w:pPr>
    <w:rPr>
      <w:rFonts w:ascii="Times New Roman" w:hAnsi="Times New Roman" w:cs="Times New Roman" w:eastAsia="Times New Roman"/>
      <w:b/>
      <w:bCs/>
      <w:sz w:val="24"/>
      <w:szCs w:val="24"/>
    </w:rPr>
  </w:style>
  <w:style w:type="paragraph" w:styleId="1072" w:customStyle="1">
    <w:name w:val="xl96"/>
    <w:basedOn w:val="750"/>
    <w:pPr>
      <w:jc w:val="center"/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</w:pBdr>
    </w:pPr>
    <w:rPr>
      <w:rFonts w:ascii="Times New Roman" w:hAnsi="Times New Roman" w:cs="Times New Roman" w:eastAsia="Times New Roman"/>
      <w:b/>
      <w:bCs/>
      <w:sz w:val="24"/>
      <w:szCs w:val="24"/>
    </w:rPr>
  </w:style>
  <w:style w:type="paragraph" w:styleId="1073" w:customStyle="1">
    <w:name w:val="xl97"/>
    <w:basedOn w:val="750"/>
    <w:pPr>
      <w:jc w:val="center"/>
      <w:spacing w:before="100" w:beforeAutospacing="1" w:after="100" w:afterAutospacing="1"/>
      <w:pBdr>
        <w:top w:val="single" w:color="auto" w:sz="4" w:space="0"/>
        <w:bottom w:val="single" w:color="auto" w:sz="4" w:space="0"/>
      </w:pBdr>
    </w:pPr>
    <w:rPr>
      <w:rFonts w:ascii="Times New Roman" w:hAnsi="Times New Roman" w:cs="Times New Roman" w:eastAsia="Times New Roman"/>
      <w:b/>
      <w:bCs/>
      <w:sz w:val="24"/>
      <w:szCs w:val="24"/>
    </w:rPr>
  </w:style>
  <w:style w:type="paragraph" w:styleId="1074" w:customStyle="1">
    <w:name w:val="xl98"/>
    <w:basedOn w:val="750"/>
    <w:pPr>
      <w:jc w:val="center"/>
      <w:spacing w:before="100" w:beforeAutospacing="1" w:after="100" w:afterAutospacing="1"/>
      <w:pBdr>
        <w:top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b/>
      <w:bCs/>
      <w:sz w:val="24"/>
      <w:szCs w:val="24"/>
    </w:rPr>
  </w:style>
  <w:style w:type="paragraph" w:styleId="1075" w:customStyle="1">
    <w:name w:val="xl99"/>
    <w:basedOn w:val="750"/>
    <w:pPr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4"/>
      <w:szCs w:val="24"/>
    </w:rPr>
  </w:style>
  <w:style w:type="paragraph" w:styleId="1076" w:customStyle="1">
    <w:name w:val="xl100"/>
    <w:basedOn w:val="750"/>
    <w:pPr>
      <w:jc w:val="center"/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color w:val="000000"/>
      <w:sz w:val="24"/>
      <w:szCs w:val="24"/>
    </w:rPr>
  </w:style>
  <w:style w:type="paragraph" w:styleId="1077" w:customStyle="1">
    <w:name w:val="xl101"/>
    <w:basedOn w:val="750"/>
    <w:pPr>
      <w:jc w:val="center"/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4"/>
      <w:szCs w:val="24"/>
    </w:rPr>
  </w:style>
  <w:style w:type="paragraph" w:styleId="1078" w:customStyle="1">
    <w:name w:val="xl102"/>
    <w:basedOn w:val="750"/>
    <w:pPr>
      <w:jc w:val="center"/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4"/>
      <w:szCs w:val="24"/>
    </w:rPr>
  </w:style>
  <w:style w:type="paragraph" w:styleId="1079" w:customStyle="1">
    <w:name w:val="xl103"/>
    <w:basedOn w:val="750"/>
    <w:pPr>
      <w:jc w:val="center"/>
      <w:spacing w:before="100" w:beforeAutospacing="1" w:after="100" w:afterAutospacing="1"/>
      <w:pBdr>
        <w:top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b/>
      <w:bCs/>
      <w:color w:val="000000"/>
      <w:sz w:val="24"/>
      <w:szCs w:val="24"/>
    </w:rPr>
  </w:style>
  <w:style w:type="paragraph" w:styleId="1080" w:customStyle="1">
    <w:name w:val="xl104"/>
    <w:basedOn w:val="750"/>
    <w:pPr>
      <w:jc w:val="center"/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b/>
      <w:bCs/>
      <w:sz w:val="24"/>
      <w:szCs w:val="24"/>
    </w:rPr>
  </w:style>
  <w:style w:type="paragraph" w:styleId="1081" w:customStyle="1">
    <w:name w:val="xl105"/>
    <w:basedOn w:val="750"/>
    <w:pPr>
      <w:jc w:val="center"/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b/>
      <w:bCs/>
      <w:sz w:val="24"/>
      <w:szCs w:val="24"/>
    </w:rPr>
  </w:style>
  <w:style w:type="paragraph" w:styleId="1082" w:customStyle="1">
    <w:name w:val="xl106"/>
    <w:basedOn w:val="750"/>
    <w:pPr>
      <w:jc w:val="center"/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b/>
      <w:bCs/>
      <w:sz w:val="24"/>
      <w:szCs w:val="24"/>
    </w:rPr>
  </w:style>
  <w:style w:type="paragraph" w:styleId="1083" w:customStyle="1">
    <w:name w:val="xl107"/>
    <w:basedOn w:val="750"/>
    <w:pPr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4"/>
      <w:szCs w:val="24"/>
    </w:rPr>
  </w:style>
  <w:style w:type="paragraph" w:styleId="1084" w:customStyle="1">
    <w:name w:val="xl108"/>
    <w:basedOn w:val="750"/>
    <w:pPr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4"/>
      <w:szCs w:val="24"/>
    </w:rPr>
  </w:style>
  <w:style w:type="paragraph" w:styleId="1085" w:customStyle="1">
    <w:name w:val="xl109"/>
    <w:basedOn w:val="750"/>
    <w:pPr>
      <w:jc w:val="center"/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4"/>
      <w:szCs w:val="24"/>
    </w:rPr>
  </w:style>
  <w:style w:type="paragraph" w:styleId="1086" w:customStyle="1">
    <w:name w:val="xl110"/>
    <w:basedOn w:val="750"/>
    <w:pPr>
      <w:jc w:val="center"/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color w:val="000000"/>
      <w:sz w:val="24"/>
      <w:szCs w:val="24"/>
    </w:rPr>
  </w:style>
  <w:style w:type="paragraph" w:styleId="1087" w:customStyle="1">
    <w:name w:val="xl111"/>
    <w:basedOn w:val="750"/>
    <w:pPr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color w:val="000000"/>
      <w:sz w:val="24"/>
      <w:szCs w:val="24"/>
    </w:rPr>
  </w:style>
  <w:style w:type="paragraph" w:styleId="1088" w:customStyle="1">
    <w:name w:val="xl112"/>
    <w:basedOn w:val="750"/>
    <w:pPr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color w:val="000000"/>
      <w:sz w:val="24"/>
      <w:szCs w:val="24"/>
    </w:rPr>
  </w:style>
  <w:style w:type="paragraph" w:styleId="1089" w:customStyle="1">
    <w:name w:val="xl113"/>
    <w:basedOn w:val="750"/>
    <w:pPr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color w:val="000000"/>
      <w:sz w:val="24"/>
      <w:szCs w:val="24"/>
    </w:rPr>
  </w:style>
  <w:style w:type="paragraph" w:styleId="1090" w:customStyle="1">
    <w:name w:val="xl88"/>
    <w:basedOn w:val="750"/>
    <w:pPr>
      <w:spacing w:before="100" w:beforeAutospacing="1" w:after="100" w:afterAutospacing="1"/>
    </w:pPr>
    <w:rPr>
      <w:rFonts w:ascii="Times New Roman" w:hAnsi="Times New Roman" w:cs="Times New Roman" w:eastAsia="Times New Roman"/>
      <w:sz w:val="24"/>
      <w:szCs w:val="24"/>
    </w:rPr>
  </w:style>
  <w:style w:type="table" w:styleId="1091" w:customStyle="1">
    <w:name w:val="Сетка таблицы211"/>
    <w:basedOn w:val="761"/>
    <w:next w:val="1047"/>
    <w:uiPriority w:val="59"/>
    <w:rPr>
      <w:rFonts w:cs="Times New Roman"/>
      <w:sz w:val="22"/>
      <w:szCs w:val="22"/>
      <w:lang w:val="en-US"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1092" w:customStyle="1">
    <w:name w:val="xl65"/>
    <w:basedOn w:val="750"/>
    <w:pPr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4"/>
      <w:szCs w:val="24"/>
    </w:rPr>
  </w:style>
  <w:style w:type="paragraph" w:styleId="1093" w:customStyle="1">
    <w:name w:val="xl66"/>
    <w:basedOn w:val="750"/>
    <w:pPr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4"/>
      <w:szCs w:val="24"/>
    </w:rPr>
  </w:style>
  <w:style w:type="paragraph" w:styleId="1094" w:customStyle="1">
    <w:name w:val="xl67"/>
    <w:basedOn w:val="750"/>
    <w:pPr>
      <w:jc w:val="center"/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b/>
      <w:bCs/>
      <w:sz w:val="24"/>
      <w:szCs w:val="24"/>
    </w:rPr>
  </w:style>
  <w:style w:type="paragraph" w:styleId="1095" w:customStyle="1">
    <w:name w:val="xl68"/>
    <w:basedOn w:val="750"/>
    <w:pPr>
      <w:jc w:val="center"/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b/>
      <w:bCs/>
      <w:sz w:val="24"/>
      <w:szCs w:val="24"/>
    </w:rPr>
  </w:style>
  <w:style w:type="paragraph" w:styleId="1096" w:customStyle="1">
    <w:name w:val="xl69"/>
    <w:basedOn w:val="750"/>
    <w:pPr>
      <w:spacing w:before="100" w:beforeAutospacing="1" w:after="100" w:afterAutospacing="1"/>
    </w:pPr>
    <w:rPr>
      <w:rFonts w:ascii="Times New Roman" w:hAnsi="Times New Roman" w:cs="Times New Roman" w:eastAsia="Times New Roman"/>
      <w:sz w:val="24"/>
      <w:szCs w:val="24"/>
    </w:rPr>
  </w:style>
  <w:style w:type="paragraph" w:styleId="1097" w:customStyle="1">
    <w:name w:val="xl70"/>
    <w:basedOn w:val="750"/>
    <w:pPr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4"/>
      <w:szCs w:val="24"/>
      <w:u w:val="single"/>
    </w:rPr>
  </w:style>
  <w:style w:type="paragraph" w:styleId="1098" w:customStyle="1">
    <w:name w:val="xl71"/>
    <w:basedOn w:val="750"/>
    <w:pPr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4"/>
      <w:szCs w:val="24"/>
    </w:rPr>
  </w:style>
  <w:style w:type="paragraph" w:styleId="1099" w:customStyle="1">
    <w:name w:val="xl72"/>
    <w:basedOn w:val="750"/>
    <w:pPr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4"/>
      <w:szCs w:val="24"/>
    </w:rPr>
  </w:style>
  <w:style w:type="paragraph" w:styleId="1100" w:customStyle="1">
    <w:name w:val="xl73"/>
    <w:basedOn w:val="750"/>
    <w:pPr>
      <w:spacing w:before="100" w:beforeAutospacing="1" w:after="100" w:afterAutospacing="1"/>
    </w:pPr>
    <w:rPr>
      <w:rFonts w:ascii="Times New Roman" w:hAnsi="Times New Roman" w:cs="Times New Roman" w:eastAsia="Times New Roman"/>
      <w:sz w:val="24"/>
      <w:szCs w:val="24"/>
    </w:rPr>
  </w:style>
  <w:style w:type="paragraph" w:styleId="1101" w:customStyle="1">
    <w:name w:val="Другое"/>
    <w:link w:val="1001"/>
    <w:pPr>
      <w:ind w:firstLine="400"/>
      <w:jc w:val="both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cs="Times New Roman" w:eastAsia="Times New Roman"/>
      <w:sz w:val="28"/>
      <w:szCs w:val="28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Relationship Id="rId12" Type="http://schemas.openxmlformats.org/officeDocument/2006/relationships/image" Target="media/image1.jpg"/><Relationship Id="rId13" Type="http://schemas.openxmlformats.org/officeDocument/2006/relationships/hyperlink" Target="about:blank" TargetMode="External"/><Relationship Id="rId14" Type="http://schemas.openxmlformats.org/officeDocument/2006/relationships/hyperlink" Target="about:blank" TargetMode="External"/><Relationship Id="rId15" Type="http://schemas.openxmlformats.org/officeDocument/2006/relationships/hyperlink" Target="https://login.consultant.ru/link/?req=doc&amp;base=LAW&amp;n=436688&amp;date=24.01.2023&amp;dst=108949&amp;field=134" TargetMode="External"/><Relationship Id="rId16" Type="http://schemas.openxmlformats.org/officeDocument/2006/relationships/hyperlink" Target="https://login.consultant.ru/link/?req=doc&amp;base=LAW&amp;n=436688&amp;date=24.01.2023&amp;dst=108949&amp;field=134" TargetMode="External"/><Relationship Id="rId17" Type="http://schemas.openxmlformats.org/officeDocument/2006/relationships/image" Target="media/image2.png"/><Relationship Id="rId18" Type="http://schemas.openxmlformats.org/officeDocument/2006/relationships/image" Target="media/image3.png"/><Relationship Id="rId19" Type="http://schemas.openxmlformats.org/officeDocument/2006/relationships/image" Target="media/image4.png"/><Relationship Id="rId20" Type="http://schemas.openxmlformats.org/officeDocument/2006/relationships/image" Target="media/image5.png"/><Relationship Id="rId21" Type="http://schemas.openxmlformats.org/officeDocument/2006/relationships/image" Target="media/image6.png"/><Relationship Id="rId22" Type="http://schemas.openxmlformats.org/officeDocument/2006/relationships/image" Target="media/image7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
</file>

<file path=customXml/item2.xml>
</file>

<file path=customXml/itemProps1.xml><?xml version="1.0" encoding="utf-8"?>
<ds:datastoreItem xmlns:ds="http://schemas.openxmlformats.org/officeDocument/2006/customXml" ds:itemID="{4CEE6860-B7D2-401D-8A33-A5B4CAF1A1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B34646-4382-4EDB-8E2E-56EB56010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Коноваленко Александр Николаевич</dc:creator>
  <cp:revision>22</cp:revision>
  <dcterms:created xsi:type="dcterms:W3CDTF">2023-01-22T12:05:00Z</dcterms:created>
  <dcterms:modified xsi:type="dcterms:W3CDTF">2023-01-31T11:30:41Z</dcterms:modified>
</cp:coreProperties>
</file>