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Arial"/>
          <w:color w:val="000000"/>
          <w:sz w:val="23"/>
          <w:szCs w:val="23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пренатальной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неонатального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аудиологического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Arial"/>
          <w:color w:val="000000"/>
          <w:sz w:val="23"/>
          <w:szCs w:val="23"/>
        </w:rPr>
        <w:t xml:space="preserve">Сроки ожидания оказания медицинской помощи в плановой форме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для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40"/>
      <w:bookmarkEnd w:id="39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Arial"/>
          <w:color w:val="000000"/>
          <w:sz w:val="23"/>
          <w:szCs w:val="23"/>
        </w:rPr>
        <w:t xml:space="preserve">Время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доезда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доезда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6"/>
      <w:bookmarkEnd w:id="45"/>
      <w:proofErr w:type="gramStart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7"/>
      <w:bookmarkEnd w:id="46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9"/>
      <w:bookmarkEnd w:id="48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Arial"/>
          <w:color w:val="000000"/>
          <w:sz w:val="23"/>
          <w:szCs w:val="23"/>
        </w:rPr>
        <w:lastRenderedPageBreak/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Arial"/>
          <w:color w:val="000000"/>
          <w:sz w:val="23"/>
          <w:szCs w:val="23"/>
        </w:rPr>
        <w:t xml:space="preserve">- в офис страховой медицинской организации, включая страхового представителя, 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очно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Arial"/>
          <w:color w:val="000000"/>
          <w:sz w:val="23"/>
          <w:szCs w:val="23"/>
        </w:rPr>
        <w:t xml:space="preserve">- территориальный орган управления здравоохранением и территориальный орган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>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Arial"/>
          <w:color w:val="000000"/>
          <w:sz w:val="23"/>
          <w:szCs w:val="23"/>
        </w:rP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Arial"/>
          <w:color w:val="000000"/>
          <w:sz w:val="23"/>
          <w:szCs w:val="23"/>
        </w:rPr>
        <w:t xml:space="preserve">- профессиональные некоммерческие медицинские и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пациентские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Arial"/>
          <w:color w:val="000000"/>
          <w:sz w:val="23"/>
          <w:szCs w:val="23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Arial"/>
          <w:color w:val="000000"/>
          <w:sz w:val="23"/>
          <w:szCs w:val="23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при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нарушении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13" w:rsidRDefault="00F32E13" w:rsidP="005430B7">
      <w:r>
        <w:separator/>
      </w:r>
    </w:p>
  </w:endnote>
  <w:endnote w:type="continuationSeparator" w:id="0">
    <w:p w:rsidR="00F32E13" w:rsidRDefault="00F32E13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13" w:rsidRDefault="00F32E13" w:rsidP="005430B7">
      <w:r>
        <w:separator/>
      </w:r>
    </w:p>
  </w:footnote>
  <w:footnote w:type="continuationSeparator" w:id="0">
    <w:p w:rsidR="00F32E13" w:rsidRDefault="00F32E13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026"/>
    <w:rsid w:val="006A3277"/>
    <w:rsid w:val="006C61FF"/>
    <w:rsid w:val="00707652"/>
    <w:rsid w:val="00707F1E"/>
    <w:rsid w:val="007326F1"/>
    <w:rsid w:val="00733E43"/>
    <w:rsid w:val="007374E2"/>
    <w:rsid w:val="00737AFA"/>
    <w:rsid w:val="00746774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B5A57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32E13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0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16625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Сергей</cp:lastModifiedBy>
  <cp:revision>2</cp:revision>
  <cp:lastPrinted>2018-10-05T09:47:00Z</cp:lastPrinted>
  <dcterms:created xsi:type="dcterms:W3CDTF">2018-10-08T11:28:00Z</dcterms:created>
  <dcterms:modified xsi:type="dcterms:W3CDTF">2018-10-08T11:28:00Z</dcterms:modified>
</cp:coreProperties>
</file>