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B7" w:rsidRDefault="00BB03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03B7" w:rsidRDefault="00BB03B7">
      <w:pPr>
        <w:pStyle w:val="ConsPlusNormal"/>
        <w:jc w:val="both"/>
        <w:outlineLvl w:val="0"/>
      </w:pPr>
    </w:p>
    <w:p w:rsidR="00BB03B7" w:rsidRDefault="00BB03B7">
      <w:pPr>
        <w:pStyle w:val="ConsPlusTitle"/>
        <w:jc w:val="center"/>
        <w:outlineLvl w:val="0"/>
      </w:pPr>
      <w:r>
        <w:t>АДМИНИСТРАЦИЯ ЛИПЕЦКОЙ ОБЛАСТИ</w:t>
      </w:r>
    </w:p>
    <w:p w:rsidR="00BB03B7" w:rsidRDefault="00BB03B7">
      <w:pPr>
        <w:pStyle w:val="ConsPlusTitle"/>
        <w:jc w:val="center"/>
      </w:pPr>
    </w:p>
    <w:p w:rsidR="00BB03B7" w:rsidRDefault="00BB03B7">
      <w:pPr>
        <w:pStyle w:val="ConsPlusTitle"/>
        <w:jc w:val="center"/>
      </w:pPr>
      <w:r>
        <w:t>ПОСТАНОВЛЕНИЕ</w:t>
      </w:r>
    </w:p>
    <w:p w:rsidR="00BB03B7" w:rsidRDefault="00BB03B7">
      <w:pPr>
        <w:pStyle w:val="ConsPlusTitle"/>
        <w:jc w:val="center"/>
      </w:pPr>
      <w:r>
        <w:t>от 10 сентября 2013 г. N 410</w:t>
      </w:r>
    </w:p>
    <w:p w:rsidR="00BB03B7" w:rsidRDefault="00BB03B7">
      <w:pPr>
        <w:pStyle w:val="ConsPlusTitle"/>
        <w:jc w:val="center"/>
      </w:pPr>
    </w:p>
    <w:p w:rsidR="00BB03B7" w:rsidRDefault="00BB03B7">
      <w:pPr>
        <w:pStyle w:val="ConsPlusTitle"/>
        <w:jc w:val="center"/>
      </w:pPr>
      <w:r>
        <w:t>ОБ УТВЕРЖДЕНИИ ПЕРЕЧНЯ ГОСУДАРСТВЕННЫХ УСЛУГ,</w:t>
      </w:r>
    </w:p>
    <w:p w:rsidR="00BB03B7" w:rsidRDefault="00BB03B7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ИСПОЛНИТЕЛЬНЫМИ ОРГАНАМИ ГОСУДАРСТВЕННОЙ</w:t>
      </w:r>
    </w:p>
    <w:p w:rsidR="00BB03B7" w:rsidRDefault="00BB03B7">
      <w:pPr>
        <w:pStyle w:val="ConsPlusTitle"/>
        <w:jc w:val="center"/>
      </w:pPr>
      <w:r>
        <w:t>ВЛАСТИ ЛИПЕЦКОЙ ОБЛАСТИ В МНОГОФУНКЦИОНАЛЬНЫХ ЦЕНТРАХ</w:t>
      </w:r>
    </w:p>
    <w:p w:rsidR="00BB03B7" w:rsidRDefault="00BB03B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B03B7" w:rsidRDefault="00BB03B7">
      <w:pPr>
        <w:pStyle w:val="ConsPlusNormal"/>
        <w:jc w:val="center"/>
      </w:pPr>
    </w:p>
    <w:p w:rsidR="00BB03B7" w:rsidRDefault="00BB03B7">
      <w:pPr>
        <w:pStyle w:val="ConsPlusNormal"/>
        <w:jc w:val="center"/>
      </w:pPr>
      <w:r>
        <w:t>Список изменяющих документов</w:t>
      </w:r>
    </w:p>
    <w:p w:rsidR="00BB03B7" w:rsidRDefault="00BB03B7">
      <w:pPr>
        <w:pStyle w:val="ConsPlusNormal"/>
        <w:jc w:val="center"/>
      </w:pPr>
      <w:proofErr w:type="gramStart"/>
      <w:r>
        <w:t>(в ред. постановлений администрации Липецкой области</w:t>
      </w:r>
      <w:proofErr w:type="gramEnd"/>
    </w:p>
    <w:p w:rsidR="00BB03B7" w:rsidRDefault="00BB03B7">
      <w:pPr>
        <w:pStyle w:val="ConsPlusNormal"/>
        <w:jc w:val="center"/>
      </w:pPr>
      <w:r>
        <w:t xml:space="preserve">от 08.05.2015 </w:t>
      </w:r>
      <w:hyperlink r:id="rId6" w:history="1">
        <w:r>
          <w:rPr>
            <w:color w:val="0000FF"/>
          </w:rPr>
          <w:t>N 232</w:t>
        </w:r>
      </w:hyperlink>
      <w:r>
        <w:t xml:space="preserve">, от 09.01.2017 </w:t>
      </w:r>
      <w:hyperlink r:id="rId7" w:history="1">
        <w:r>
          <w:rPr>
            <w:color w:val="0000FF"/>
          </w:rPr>
          <w:t>N 8</w:t>
        </w:r>
      </w:hyperlink>
      <w:r>
        <w:t>)</w:t>
      </w:r>
    </w:p>
    <w:p w:rsidR="00BB03B7" w:rsidRDefault="00BB03B7">
      <w:pPr>
        <w:pStyle w:val="ConsPlusNormal"/>
        <w:jc w:val="center"/>
      </w:pPr>
    </w:p>
    <w:p w:rsidR="00BB03B7" w:rsidRDefault="00BB03B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8" w:history="1">
        <w:r>
          <w:rPr>
            <w:color w:val="0000FF"/>
          </w:rPr>
          <w:t>статьей 15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администрация Липецкой области постановляет:</w:t>
      </w:r>
    </w:p>
    <w:p w:rsidR="00BB03B7" w:rsidRDefault="00BB03B7">
      <w:pPr>
        <w:pStyle w:val="ConsPlusNormal"/>
        <w:ind w:firstLine="540"/>
        <w:jc w:val="both"/>
      </w:pPr>
      <w:r>
        <w:t xml:space="preserve">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исполнительными органами государственной власти Липецкой области в многофункциональных центрах предоставления государственных и муниципальных услуг (приложение).</w:t>
      </w: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right"/>
      </w:pPr>
      <w:r>
        <w:t>И.о. главы администрации области</w:t>
      </w:r>
    </w:p>
    <w:p w:rsidR="00BB03B7" w:rsidRDefault="00BB03B7">
      <w:pPr>
        <w:pStyle w:val="ConsPlusNormal"/>
        <w:jc w:val="right"/>
      </w:pPr>
      <w:r>
        <w:t>Ю.Н.БОЖКО</w:t>
      </w: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right"/>
        <w:outlineLvl w:val="0"/>
      </w:pPr>
      <w:r>
        <w:t>Приложение</w:t>
      </w:r>
    </w:p>
    <w:p w:rsidR="00BB03B7" w:rsidRDefault="00BB03B7">
      <w:pPr>
        <w:pStyle w:val="ConsPlusNormal"/>
        <w:jc w:val="right"/>
      </w:pPr>
      <w:r>
        <w:t>к постановлению</w:t>
      </w:r>
    </w:p>
    <w:p w:rsidR="00BB03B7" w:rsidRDefault="00BB03B7">
      <w:pPr>
        <w:pStyle w:val="ConsPlusNormal"/>
        <w:jc w:val="right"/>
      </w:pPr>
      <w:r>
        <w:t>администрации Липецкой</w:t>
      </w:r>
    </w:p>
    <w:p w:rsidR="00BB03B7" w:rsidRDefault="00BB03B7">
      <w:pPr>
        <w:pStyle w:val="ConsPlusNormal"/>
        <w:jc w:val="right"/>
      </w:pPr>
      <w:bookmarkStart w:id="0" w:name="_GoBack"/>
      <w:r>
        <w:t>области "Об утверждении</w:t>
      </w:r>
    </w:p>
    <w:bookmarkEnd w:id="0"/>
    <w:p w:rsidR="00BB03B7" w:rsidRDefault="00BB03B7">
      <w:pPr>
        <w:pStyle w:val="ConsPlusNormal"/>
        <w:jc w:val="right"/>
      </w:pPr>
      <w:r>
        <w:t xml:space="preserve">Перечня </w:t>
      </w:r>
      <w:proofErr w:type="gramStart"/>
      <w:r>
        <w:t>государственных</w:t>
      </w:r>
      <w:proofErr w:type="gramEnd"/>
    </w:p>
    <w:p w:rsidR="00BB03B7" w:rsidRDefault="00BB03B7">
      <w:pPr>
        <w:pStyle w:val="ConsPlusNormal"/>
        <w:jc w:val="right"/>
      </w:pPr>
      <w:r>
        <w:t>услуг, предоставляемых</w:t>
      </w:r>
    </w:p>
    <w:p w:rsidR="00BB03B7" w:rsidRDefault="00BB03B7">
      <w:pPr>
        <w:pStyle w:val="ConsPlusNormal"/>
        <w:jc w:val="right"/>
      </w:pPr>
      <w:r>
        <w:t>исполнительными органами</w:t>
      </w:r>
    </w:p>
    <w:p w:rsidR="00BB03B7" w:rsidRDefault="00BB03B7">
      <w:pPr>
        <w:pStyle w:val="ConsPlusNormal"/>
        <w:jc w:val="right"/>
      </w:pPr>
      <w:r>
        <w:t>государственной власти</w:t>
      </w:r>
    </w:p>
    <w:p w:rsidR="00BB03B7" w:rsidRDefault="00BB03B7">
      <w:pPr>
        <w:pStyle w:val="ConsPlusNormal"/>
        <w:jc w:val="right"/>
      </w:pPr>
      <w:r>
        <w:t>Липецкой области</w:t>
      </w:r>
    </w:p>
    <w:p w:rsidR="00BB03B7" w:rsidRDefault="00BB03B7">
      <w:pPr>
        <w:pStyle w:val="ConsPlusNormal"/>
        <w:jc w:val="right"/>
      </w:pPr>
      <w:r>
        <w:t>в многофункциональных центрах</w:t>
      </w:r>
    </w:p>
    <w:p w:rsidR="00BB03B7" w:rsidRDefault="00BB03B7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государственных</w:t>
      </w:r>
      <w:proofErr w:type="gramEnd"/>
    </w:p>
    <w:p w:rsidR="00BB03B7" w:rsidRDefault="00BB03B7">
      <w:pPr>
        <w:pStyle w:val="ConsPlusNormal"/>
        <w:jc w:val="right"/>
      </w:pPr>
      <w:r>
        <w:t>и муниципальных услуг"</w:t>
      </w: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Title"/>
        <w:jc w:val="center"/>
      </w:pPr>
      <w:bookmarkStart w:id="1" w:name="P38"/>
      <w:bookmarkEnd w:id="1"/>
      <w:r>
        <w:t>ПЕРЕЧЕНЬ</w:t>
      </w:r>
    </w:p>
    <w:p w:rsidR="00BB03B7" w:rsidRDefault="00BB03B7">
      <w:pPr>
        <w:pStyle w:val="ConsPlusTitle"/>
        <w:jc w:val="center"/>
      </w:pPr>
      <w:r>
        <w:t xml:space="preserve">ГОСУДАРСТВЕННЫХ УСЛУГ, ПРЕДОСТАВЛЯЕМЫХ </w:t>
      </w:r>
      <w:proofErr w:type="gramStart"/>
      <w:r>
        <w:t>ИСПОЛНИТЕЛЬНЫМИ</w:t>
      </w:r>
      <w:proofErr w:type="gramEnd"/>
    </w:p>
    <w:p w:rsidR="00BB03B7" w:rsidRDefault="00BB03B7">
      <w:pPr>
        <w:pStyle w:val="ConsPlusTitle"/>
        <w:jc w:val="center"/>
      </w:pPr>
      <w:r>
        <w:t>ОРГАНАМИ ГОСУДАРСТВЕННОЙ ВЛАСТИ ЛИПЕЦКОЙ ОБЛАСТИ</w:t>
      </w:r>
    </w:p>
    <w:p w:rsidR="00BB03B7" w:rsidRDefault="00BB03B7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</w:t>
      </w:r>
    </w:p>
    <w:p w:rsidR="00BB03B7" w:rsidRDefault="00BB03B7">
      <w:pPr>
        <w:pStyle w:val="ConsPlusTitle"/>
        <w:jc w:val="center"/>
      </w:pPr>
      <w:r>
        <w:t>И МУНИЦИПАЛЬНЫХ УСЛУГ</w:t>
      </w:r>
    </w:p>
    <w:p w:rsidR="00BB03B7" w:rsidRDefault="00BB03B7">
      <w:pPr>
        <w:pStyle w:val="ConsPlusNormal"/>
        <w:jc w:val="center"/>
      </w:pPr>
    </w:p>
    <w:p w:rsidR="00BB03B7" w:rsidRDefault="00BB03B7">
      <w:pPr>
        <w:pStyle w:val="ConsPlusNormal"/>
        <w:jc w:val="center"/>
      </w:pPr>
      <w:r>
        <w:t>Список изменяющих документов</w:t>
      </w:r>
    </w:p>
    <w:p w:rsidR="00BB03B7" w:rsidRDefault="00BB03B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09.01.2017 N 8)</w:t>
      </w: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right"/>
      </w:pPr>
      <w:r>
        <w:t>Таблица</w:t>
      </w:r>
    </w:p>
    <w:p w:rsidR="00BB03B7" w:rsidRDefault="00BB03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I. Государственная жилищная инспекция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II. Инспекция гостехнадзора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Технический осмотр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Регистрация тракторов, самоходных дорожно-строительных и иных машин и прицепов к ним с выдачей государственных регистрационных знаков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учебным учреждениям обязательных свидетельств о соответствии требованиям оборудования и оснащенности учебного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III. Управление дорог и транспорта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и переоформление разрешения на осуществление деятельности по перевозке пассажиров и багажа легковым такси на территории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</w:t>
            </w:r>
            <w:proofErr w:type="gramEnd"/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IV. Управление ЖКХ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жилых помещений специализированного жилищного фонда Липецкой области детям-сиротам и детям, оставшимся без попечения родителей, а также лицам из их числа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V. Управление ЗАГС и архивов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Проставление штампа апостиль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lastRenderedPageBreak/>
              <w:t>VI. Управление здравоохранения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VII. Управление имущественных и земельных отношений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копий архивных документов, подтверждающих право на владение землей, находящейся в областной собственности и государственная собственность на которую не разграничена на территории городского округа город Липецк, сельских поселений, входящих в состав Липецкого муниципального района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Постановка граждан, имеющих трех и более детей, на учет в целях предоставления земельного участка на территории городского округа город Липецк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земельных участков, государственная собственность на которые не разграничена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гражданам, имеющим трех и более детей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земельного участка, предназначенного для ведения сельскохозяйственного производства, находящегося в областной собственности, в аренду без проведения торгов путем заключения нового договора аренды такого земельного участка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Предоставление земельных участков, государственная собственность на которые не разграничена,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осуществления крестьянским (фермерским) хозяйством деятельности без проведения торгов</w:t>
            </w:r>
            <w:proofErr w:type="gramEnd"/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Предоставление земельных участков, государственная собственность на которые не разграничена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на которых расположены здания, сооружения</w:t>
            </w:r>
            <w:proofErr w:type="gramEnd"/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государственного имущества Липецкой области в безвозмездное пользование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информации об объектах недвижимого имущества, находящихся в собственности Липецкой области и предназначенных для сдачи в аренду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государственного имущества Липецкой области в аренду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VIII. Управление культуры и туризма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 xml:space="preserve">Выдача собственнику объекта культурного наследия паспорта объекта культурного </w:t>
            </w:r>
            <w:r>
              <w:lastRenderedPageBreak/>
              <w:t>наследия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Организация установки и согласования информационных надписей и обозначений на объекты культурного наследия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IX. Управление лесного хозяйства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выписки из государственного лесного реестра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гражданам лесных насаждений для заготовки древесины для собственных нужд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X. Управление образования и науки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информации об организации среднего профессионального образования на территории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Организация предоставления единовременной социальной выплаты при передаче на воспитание в семью ребенка-сироты или ребенка, оставшегося без попечения родителей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XI. Управление по охране, использованию объектов животного мира и водных биологических ресурсов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и аннулирование охотничьих билетов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XII. Управление потребительского рынка и ценовой политики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XIII. Управление социальной защиты населения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выплата государственной социальной помощи на основании социального контракта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единовременной социальной выплаты в связи с рождением (усыновлением) третьего и последующих детей или детей-близнецов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единовременной социальной выплаты лицам из числа детей-сирот и детей, оставшихся без попечения родителей, в связи с рождением ребенка (детей)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ежемесячной денежной выплаты в связи с рождением третьего и последующих детей до достижения ребенком возраста трех лет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Назначение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</w:t>
            </w:r>
            <w:proofErr w:type="gramEnd"/>
            <w:r>
              <w:t xml:space="preserve"> прожиточного минимума, установленного в области в расчете на душу населения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Назначение и выплата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</w:t>
            </w:r>
            <w:proofErr w:type="gramEnd"/>
            <w:r>
              <w:t xml:space="preserve"> государствами, а также погибли при исполнении обязанностей военной службы (служебных обязанностей) и им присвоено звание Героя Российской Федерации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Назначение и выплата ежемесячной доплаты к пенсии по случаю потери кормильца, назначенной в соответствии с федеральным законодательством, детям, не достигшим возраста 18 лет, а также обучающимся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</w:t>
            </w:r>
            <w:proofErr w:type="gramEnd"/>
            <w:r>
              <w:t xml:space="preserve"> 23 лет, </w:t>
            </w:r>
            <w:proofErr w:type="gramStart"/>
            <w:r>
              <w:t>проживающим</w:t>
            </w:r>
            <w:proofErr w:type="gramEnd"/>
            <w:r>
              <w:t xml:space="preserve"> на территории Липецкой области, родители (один из родителей) которых погибли (погиб) при исполнении обязанностей военной службы (служебных обязанностей) в Демократической Республике Афганистан, Чеченской Республике и на прилегающих к ней территориях Российской Федерации, на границе Российской Федерации с другими государствами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выплата ежемесячной доплаты к пенсии, назначенной в соответствии с федеральным законодательством лицам, имеющим особые заслуги перед Российской Федерацией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ежемесячной социальной выплаты малоимущим молодым семьям на компенсацию затрат по найму (поднайму) жилого помещения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ежемесячной социальной выплаты малоимущим семьям на ребенка (детей) от полутора до трех лет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выплата государственной социальной помощи в виде социального пособия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предоставление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бесплатного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общеобразовательных организаций и частных общеобразовательных организаций, имеющих государственную аккредитацию, на период с сентября по июнь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пособия на ребенка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гражданам денежных выплат на оплату жилого помещения и коммунальных услуг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одному из родителей (усыновителей), награжденному орденом "Родительская слава", компенсации стоимости газификации жилого помещения, принадлежащего ему на праве собственности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компенсации стоимости подключения жилого помещения к централизованной системе холодного водоснабжения малоимущим многодетным семьям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материальной помощи гражданам, находящимся в трудной жизненной ситуации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оплаты стоимости газификации малоимущим многодетным семьям, нуждающимся в газификации жилья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путевки на санаторно-курортное лечение беременным женщинам из малоимущих молодых семей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Предоставление субсидий на оплату жилого помещения и коммунальных услуг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Присвоение звания "Ветеран труда"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Присвоение звания "Ветеран труда Липецкой области"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Субсидирование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Назначение и выплата единовременной социальной выплаты малоимущим молодым семьям в связи с рождением первого ребенка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XIV. Управление строительства и архитектуры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Выдача разрешения на строительство объекта капитального строительства</w:t>
            </w:r>
          </w:p>
        </w:tc>
      </w:tr>
      <w:tr w:rsidR="00BB03B7">
        <w:tc>
          <w:tcPr>
            <w:tcW w:w="9071" w:type="dxa"/>
            <w:gridSpan w:val="2"/>
          </w:tcPr>
          <w:p w:rsidR="00BB03B7" w:rsidRDefault="00BB03B7">
            <w:pPr>
              <w:pStyle w:val="ConsPlusNormal"/>
              <w:jc w:val="center"/>
              <w:outlineLvl w:val="1"/>
            </w:pPr>
            <w:r>
              <w:t>XV. Управление труда и занятости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включая обучение в другой местности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Психологическая поддержка безработных граждан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Информирование о положении на рынке труда в Липецкой области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Социальная адаптация безработных граждан на рынке труда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Организация проведения оплачиваемых общественных работ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</w:t>
            </w:r>
          </w:p>
          <w:p w:rsidR="00BB03B7" w:rsidRDefault="00BB03B7">
            <w:pPr>
              <w:pStyle w:val="ConsPlusNormal"/>
            </w:pPr>
            <w:r>
              <w:t>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BB03B7">
        <w:tc>
          <w:tcPr>
            <w:tcW w:w="624" w:type="dxa"/>
          </w:tcPr>
          <w:p w:rsidR="00BB03B7" w:rsidRDefault="00BB03B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447" w:type="dxa"/>
          </w:tcPr>
          <w:p w:rsidR="00BB03B7" w:rsidRDefault="00BB03B7">
            <w:pPr>
              <w:pStyle w:val="ConsPlusNormal"/>
            </w:pPr>
            <w:proofErr w:type="gramStart"/>
            <w:r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>
              <w:t xml:space="preserve"> регистрации</w:t>
            </w:r>
          </w:p>
        </w:tc>
      </w:tr>
    </w:tbl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jc w:val="both"/>
      </w:pPr>
    </w:p>
    <w:p w:rsidR="00BB03B7" w:rsidRDefault="00BB03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/>
    <w:sectPr w:rsidR="006C0685" w:rsidSect="00F9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7"/>
    <w:rsid w:val="005F5E6D"/>
    <w:rsid w:val="006C0685"/>
    <w:rsid w:val="00B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52C8AA9680871242E03B8A70B001AE098C3C4BB4545711308AA4A7DDECFC38614EC29E6h37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D52C8AA9680871242E1DB5B1675C15E2939CCCB04F4B2E4757F1172AD7C594C15BB56BA43DCC23E313F1h47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52C8AA9680871242E1DB5B1675C15E2939CCCBF4C46274A57F1172AD7C594C15BB56BA43DCC23E313F1h47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52C8AA9680871242E1DB5B1675C15E2939CCCB04F4B2E4757F1172AD7C594C15BB56BA43DCC23E313F1h47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2017-02-03T08:59:00Z</dcterms:created>
  <dcterms:modified xsi:type="dcterms:W3CDTF">2017-02-03T09:00:00Z</dcterms:modified>
</cp:coreProperties>
</file>